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4B120"/>
    <w:p w14:paraId="1EEE5986">
      <w:pPr>
        <w:rPr>
          <w:kern w:val="0"/>
        </w:rPr>
      </w:pPr>
    </w:p>
    <w:p w14:paraId="34405167">
      <w:pPr>
        <w:rPr>
          <w:kern w:val="0"/>
        </w:rPr>
      </w:pPr>
    </w:p>
    <w:p w14:paraId="19C37D99">
      <w:pPr>
        <w:ind w:firstLine="0" w:firstLineChars="0"/>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残疾人就业保障业务经费绩效评价报告</w:t>
      </w:r>
    </w:p>
    <w:p w14:paraId="4174DCA4">
      <w:pPr>
        <w:rPr>
          <w:kern w:val="0"/>
        </w:rPr>
      </w:pPr>
    </w:p>
    <w:p w14:paraId="3AB2B802">
      <w:pPr>
        <w:rPr>
          <w:kern w:val="0"/>
        </w:rPr>
      </w:pPr>
    </w:p>
    <w:p w14:paraId="46D9147A">
      <w:pPr>
        <w:ind w:firstLine="0" w:firstLineChars="0"/>
        <w:jc w:val="center"/>
        <w:rPr>
          <w:rFonts w:ascii="方正楷体_GBK" w:hAnsi="方正楷体_GBK" w:eastAsia="方正楷体_GBK" w:cs="方正楷体_GBK"/>
          <w:kern w:val="0"/>
        </w:rPr>
      </w:pPr>
      <w:r>
        <w:rPr>
          <w:rFonts w:hint="eastAsia" w:ascii="方正楷体_GBK" w:hAnsi="方正楷体_GBK" w:eastAsia="方正楷体_GBK" w:cs="方正楷体_GBK"/>
          <w:kern w:val="0"/>
        </w:rPr>
        <w:t>（2024年度）</w:t>
      </w:r>
    </w:p>
    <w:p w14:paraId="37405144">
      <w:pPr>
        <w:rPr>
          <w:kern w:val="0"/>
        </w:rPr>
      </w:pPr>
    </w:p>
    <w:p w14:paraId="5D165F79">
      <w:pPr>
        <w:rPr>
          <w:kern w:val="0"/>
        </w:rPr>
      </w:pPr>
    </w:p>
    <w:p w14:paraId="57D5059B">
      <w:pPr>
        <w:rPr>
          <w:kern w:val="0"/>
        </w:rPr>
      </w:pPr>
    </w:p>
    <w:p w14:paraId="6E21FAB8">
      <w:pPr>
        <w:pStyle w:val="2"/>
        <w:ind w:firstLine="643"/>
      </w:pPr>
    </w:p>
    <w:p w14:paraId="7E723AA0">
      <w:pPr>
        <w:rPr>
          <w:kern w:val="0"/>
        </w:rPr>
      </w:pPr>
    </w:p>
    <w:p w14:paraId="5F31F581">
      <w:pPr>
        <w:rPr>
          <w:kern w:val="0"/>
        </w:rPr>
      </w:pPr>
    </w:p>
    <w:p w14:paraId="742932C1">
      <w:pPr>
        <w:pStyle w:val="2"/>
        <w:ind w:firstLine="643"/>
        <w:rPr>
          <w:kern w:val="0"/>
        </w:rPr>
      </w:pPr>
    </w:p>
    <w:p w14:paraId="1D695417"/>
    <w:p w14:paraId="3F6E7E85"/>
    <w:p w14:paraId="23345E58">
      <w:pPr>
        <w:rPr>
          <w:kern w:val="0"/>
        </w:rPr>
      </w:pPr>
      <w:r>
        <w:rPr>
          <w:kern w:val="0"/>
        </w:rPr>
        <w:t>项目名称：</w:t>
      </w:r>
      <w:r>
        <w:rPr>
          <w:rFonts w:hint="eastAsia"/>
          <w:kern w:val="0"/>
        </w:rPr>
        <w:t>残疾人就业保障业务经费</w:t>
      </w:r>
    </w:p>
    <w:p w14:paraId="3297AAB8">
      <w:pPr>
        <w:rPr>
          <w:kern w:val="0"/>
        </w:rPr>
      </w:pPr>
      <w:r>
        <w:rPr>
          <w:kern w:val="0"/>
        </w:rPr>
        <w:t>实施单位（公章）：</w:t>
      </w:r>
      <w:r>
        <w:rPr>
          <w:rFonts w:hint="eastAsia"/>
          <w:kern w:val="0"/>
        </w:rPr>
        <w:t>乌鲁木齐市水磨沟区残疾人联合会</w:t>
      </w:r>
    </w:p>
    <w:p w14:paraId="330E1C86">
      <w:pPr>
        <w:rPr>
          <w:kern w:val="0"/>
        </w:rPr>
      </w:pPr>
      <w:r>
        <w:rPr>
          <w:kern w:val="0"/>
        </w:rPr>
        <w:t>主管部门（公章）：</w:t>
      </w:r>
      <w:r>
        <w:rPr>
          <w:rFonts w:hint="eastAsia"/>
          <w:kern w:val="0"/>
        </w:rPr>
        <w:t>乌鲁木齐市水磨沟区残疾人联合会</w:t>
      </w:r>
      <w:bookmarkStart w:id="7" w:name="_GoBack"/>
      <w:bookmarkEnd w:id="7"/>
    </w:p>
    <w:p w14:paraId="65D89A8C">
      <w:pPr>
        <w:rPr>
          <w:rFonts w:ascii="宋体" w:hAnsi="宋体" w:cs="宋体"/>
          <w:kern w:val="0"/>
        </w:rPr>
      </w:pPr>
      <w:r>
        <w:rPr>
          <w:kern w:val="0"/>
        </w:rPr>
        <w:t>项目负责人（签章）：</w:t>
      </w:r>
      <w:r>
        <w:rPr>
          <w:rFonts w:hint="eastAsia" w:ascii="宋体" w:hAnsi="宋体" w:eastAsia="宋体" w:cs="宋体"/>
          <w:kern w:val="0"/>
        </w:rPr>
        <w:t>曹蓉蓉</w:t>
      </w:r>
    </w:p>
    <w:p w14:paraId="7D4803D8">
      <w:pPr>
        <w:rPr>
          <w:kern w:val="0"/>
        </w:rPr>
      </w:pPr>
      <w:r>
        <w:rPr>
          <w:kern w:val="0"/>
        </w:rPr>
        <w:t>填报时间：</w:t>
      </w:r>
      <w:r>
        <w:rPr>
          <w:rFonts w:hint="eastAsia"/>
          <w:kern w:val="0"/>
        </w:rPr>
        <w:t>2025</w:t>
      </w:r>
      <w:r>
        <w:rPr>
          <w:kern w:val="0"/>
        </w:rPr>
        <w:t>年</w:t>
      </w:r>
      <w:r>
        <w:rPr>
          <w:rFonts w:hint="eastAsia"/>
          <w:kern w:val="0"/>
        </w:rPr>
        <w:t>4</w:t>
      </w:r>
      <w:r>
        <w:rPr>
          <w:kern w:val="0"/>
        </w:rPr>
        <w:t>月</w:t>
      </w:r>
      <w:r>
        <w:rPr>
          <w:rFonts w:hint="eastAsia"/>
          <w:kern w:val="0"/>
        </w:rPr>
        <w:t>17</w:t>
      </w:r>
      <w:r>
        <w:rPr>
          <w:kern w:val="0"/>
        </w:rPr>
        <w:t>日</w:t>
      </w:r>
    </w:p>
    <w:p w14:paraId="4608E689">
      <w:pPr>
        <w:ind w:firstLine="624"/>
        <w:rPr>
          <w:rStyle w:val="14"/>
          <w:rFonts w:eastAsia="黑体"/>
          <w:b w:val="0"/>
          <w:spacing w:val="-4"/>
        </w:rPr>
        <w:sectPr>
          <w:headerReference r:id="rId7" w:type="first"/>
          <w:footerReference r:id="rId10" w:type="first"/>
          <w:headerReference r:id="rId5" w:type="default"/>
          <w:footerReference r:id="rId8" w:type="default"/>
          <w:headerReference r:id="rId6" w:type="even"/>
          <w:footerReference r:id="rId9" w:type="even"/>
          <w:pgSz w:w="11906" w:h="16838"/>
          <w:pgMar w:top="1440" w:right="1558" w:bottom="1440" w:left="1800" w:header="851" w:footer="1417" w:gutter="0"/>
          <w:cols w:space="425" w:num="1"/>
          <w:docGrid w:type="lines" w:linePitch="312" w:charSpace="0"/>
        </w:sectPr>
      </w:pPr>
    </w:p>
    <w:p w14:paraId="7C9877C6">
      <w:pPr>
        <w:spacing w:line="560" w:lineRule="exact"/>
        <w:rPr>
          <w:rFonts w:ascii="Times New Roman" w:hAnsi="Times New Roman" w:cs="Times New Roman"/>
        </w:rPr>
      </w:pPr>
      <w:r>
        <w:rPr>
          <w:rFonts w:ascii="Times New Roman" w:hAnsi="Times New Roman" w:eastAsia="方正黑体_GBK" w:cs="Times New Roman"/>
        </w:rPr>
        <w:t>一、基本情况</w:t>
      </w:r>
    </w:p>
    <w:p w14:paraId="575FB342">
      <w:pPr>
        <w:spacing w:line="560" w:lineRule="exact"/>
        <w:rPr>
          <w:rFonts w:ascii="Times New Roman" w:hAnsi="Times New Roman" w:eastAsia="方正楷体_GBK" w:cs="Times New Roman"/>
        </w:rPr>
      </w:pPr>
      <w:r>
        <w:rPr>
          <w:rFonts w:ascii="Times New Roman" w:hAnsi="Times New Roman" w:eastAsia="方正楷体_GBK" w:cs="Times New Roman"/>
        </w:rPr>
        <w:t>（一）项目概况</w:t>
      </w:r>
    </w:p>
    <w:p w14:paraId="19E56430">
      <w:pPr>
        <w:pStyle w:val="19"/>
        <w:spacing w:line="560" w:lineRule="exact"/>
        <w:ind w:firstLine="641"/>
        <w:rPr>
          <w:rFonts w:ascii="Times New Roman" w:hAnsi="Times New Roman" w:eastAsia="方正仿宋_GBK" w:cs="Times New Roman"/>
          <w:b/>
          <w:bCs/>
          <w:kern w:val="2"/>
          <w:szCs w:val="32"/>
        </w:rPr>
      </w:pPr>
      <w:r>
        <w:rPr>
          <w:rFonts w:ascii="Times New Roman" w:hAnsi="Times New Roman" w:eastAsia="方正仿宋_GBK" w:cs="Times New Roman"/>
          <w:b/>
          <w:bCs/>
          <w:kern w:val="2"/>
          <w:szCs w:val="32"/>
        </w:rPr>
        <w:t>1.项目背景</w:t>
      </w:r>
    </w:p>
    <w:p w14:paraId="68CED037">
      <w:pPr>
        <w:spacing w:line="560" w:lineRule="exact"/>
        <w:rPr>
          <w:rFonts w:ascii="Times New Roman" w:hAnsi="Times New Roman" w:eastAsia="方正仿宋_GBK" w:cs="Times New Roman"/>
        </w:rPr>
      </w:pPr>
      <w:r>
        <w:rPr>
          <w:rFonts w:hint="eastAsia" w:ascii="Times New Roman" w:hAnsi="Times New Roman" w:eastAsia="方正仿宋_GBK" w:cs="Times New Roman"/>
        </w:rPr>
        <w:t>残疾人就业保障业务经费是为保障残疾人权益，促进残疾人就业的资金。</w:t>
      </w:r>
      <w:r>
        <w:rPr>
          <w:rFonts w:ascii="Times New Roman" w:hAnsi="Times New Roman" w:eastAsia="方正仿宋_GBK" w:cs="Times New Roman"/>
        </w:rPr>
        <w:t>项目背景是《中华人民共和国残疾人保障法》和《残疾人就业条例》《</w:t>
      </w:r>
      <w:r>
        <w:rPr>
          <w:rFonts w:hint="eastAsia" w:ascii="Times New Roman" w:hAnsi="Times New Roman" w:eastAsia="方正仿宋_GBK" w:cs="Times New Roman"/>
        </w:rPr>
        <w:t>残疾预防和残疾人康复条例</w:t>
      </w:r>
      <w:r>
        <w:rPr>
          <w:rFonts w:ascii="Times New Roman" w:hAnsi="Times New Roman" w:eastAsia="方正仿宋_GBK" w:cs="Times New Roman"/>
        </w:rPr>
        <w:t>》为充分保障辖区内持证残疾人基本生活、残疾人就业而设立的残疾人就业保障金。</w:t>
      </w:r>
    </w:p>
    <w:p w14:paraId="1E346048">
      <w:pPr>
        <w:pStyle w:val="19"/>
        <w:spacing w:line="560" w:lineRule="exact"/>
        <w:ind w:firstLine="641"/>
        <w:rPr>
          <w:rFonts w:ascii="Times New Roman" w:hAnsi="Times New Roman" w:eastAsia="方正仿宋_GBK" w:cs="Times New Roman"/>
          <w:b/>
          <w:bCs/>
          <w:kern w:val="2"/>
          <w:szCs w:val="32"/>
        </w:rPr>
      </w:pPr>
      <w:r>
        <w:rPr>
          <w:rFonts w:ascii="Times New Roman" w:hAnsi="Times New Roman" w:eastAsia="方正仿宋_GBK" w:cs="Times New Roman"/>
          <w:b/>
          <w:bCs/>
          <w:kern w:val="2"/>
          <w:szCs w:val="32"/>
        </w:rPr>
        <w:t>2.项目主要内容及实施情况</w:t>
      </w:r>
    </w:p>
    <w:p w14:paraId="57723287">
      <w:pPr>
        <w:spacing w:line="560" w:lineRule="exact"/>
        <w:rPr>
          <w:rFonts w:ascii="Times New Roman" w:hAnsi="Times New Roman" w:eastAsia="方正仿宋_GBK" w:cs="Times New Roman"/>
        </w:rPr>
      </w:pPr>
      <w:r>
        <w:rPr>
          <w:rFonts w:ascii="Times New Roman" w:hAnsi="Times New Roman" w:eastAsia="方正仿宋_GBK" w:cs="Times New Roman"/>
        </w:rPr>
        <w:t>项目主要内容：</w:t>
      </w:r>
      <w:r>
        <w:rPr>
          <w:rFonts w:hint="eastAsia" w:ascii="Times New Roman" w:hAnsi="Times New Roman" w:eastAsia="方正仿宋_GBK" w:cs="Times New Roman"/>
        </w:rPr>
        <w:t>残疾人就业保障金纳入地方</w:t>
      </w:r>
      <w:r>
        <w:rPr>
          <w:rFonts w:hint="eastAsia"/>
          <w:kern w:val="0"/>
        </w:rPr>
        <w:t>一般公共预算统筹安排，</w:t>
      </w:r>
      <w:r>
        <w:rPr>
          <w:rFonts w:ascii="Times New Roman" w:hAnsi="Times New Roman" w:eastAsia="方正仿宋_GBK" w:cs="Times New Roman"/>
        </w:rPr>
        <w:t>此项目2024年主要用于支持辖区内持证残疾人就业和保障残疾人基本生活。2024年辖区内持证残疾人人数达到4206人</w:t>
      </w:r>
      <w:r>
        <w:rPr>
          <w:rFonts w:hint="eastAsia" w:ascii="Times New Roman" w:hAnsi="Times New Roman" w:eastAsia="方正仿宋_GBK" w:cs="Times New Roman"/>
        </w:rPr>
        <w:t>。</w:t>
      </w:r>
      <w:r>
        <w:rPr>
          <w:rFonts w:hint="eastAsia" w:ascii="Times New Roman" w:hAnsi="Times New Roman" w:eastAsia="方正仿宋_GBK" w:cs="Times New Roman"/>
          <w:b/>
        </w:rPr>
        <w:t>支出方向包括</w:t>
      </w:r>
      <w:r>
        <w:rPr>
          <w:rFonts w:hint="eastAsia" w:ascii="Times New Roman" w:hAnsi="Times New Roman" w:eastAsia="方正仿宋_GBK" w:cs="Times New Roman"/>
        </w:rPr>
        <w:t>：</w:t>
      </w:r>
      <w:r>
        <w:rPr>
          <w:rFonts w:ascii="Times New Roman" w:hAnsi="Times New Roman" w:eastAsia="方正仿宋_GBK" w:cs="Times New Roman"/>
        </w:rPr>
        <w:t>为辖区内开展各项残疾人事业，组织残疾人开展康复、就业、培训等惠民活动，完成各项任务，发放各项残疾人</w:t>
      </w:r>
      <w:r>
        <w:rPr>
          <w:rFonts w:hint="eastAsia" w:ascii="Times New Roman" w:hAnsi="Times New Roman" w:eastAsia="方正仿宋_GBK" w:cs="Times New Roman"/>
        </w:rPr>
        <w:t>补助，比如：残疾人居家托养、寄宿制托养、残疾人租住廉租房</w:t>
      </w:r>
      <w:r>
        <w:rPr>
          <w:rFonts w:ascii="Times New Roman" w:hAnsi="Times New Roman" w:eastAsia="方正仿宋_GBK" w:cs="Times New Roman"/>
        </w:rPr>
        <w:t>补助资金</w:t>
      </w:r>
      <w:r>
        <w:rPr>
          <w:rFonts w:hint="eastAsia" w:ascii="Times New Roman" w:hAnsi="Times New Roman" w:eastAsia="方正仿宋_GBK" w:cs="Times New Roman"/>
        </w:rPr>
        <w:t>、残疾学生学费补贴、残疾人自主创业、个体就业扶持补贴等等</w:t>
      </w:r>
      <w:r>
        <w:rPr>
          <w:rFonts w:ascii="Times New Roman" w:hAnsi="Times New Roman" w:eastAsia="方正仿宋_GBK" w:cs="Times New Roman"/>
        </w:rPr>
        <w:t>。</w:t>
      </w:r>
    </w:p>
    <w:p w14:paraId="328341D9">
      <w:pPr>
        <w:spacing w:line="560" w:lineRule="exact"/>
        <w:rPr>
          <w:rFonts w:ascii="Times New Roman" w:hAnsi="Times New Roman" w:eastAsia="方正仿宋_GBK" w:cs="Times New Roman"/>
        </w:rPr>
      </w:pPr>
      <w:r>
        <w:rPr>
          <w:rFonts w:ascii="Times New Roman" w:hAnsi="Times New Roman" w:eastAsia="方正仿宋_GBK" w:cs="Times New Roman"/>
        </w:rPr>
        <w:t>残疾人就业保障业务经费项目2024年预算内项目，区级资金，2024年初下达残疾人就业保障业务经费105.40万元。</w:t>
      </w:r>
    </w:p>
    <w:p w14:paraId="48D5EFA2">
      <w:pPr>
        <w:spacing w:line="560" w:lineRule="exact"/>
        <w:rPr>
          <w:rFonts w:ascii="Times New Roman" w:hAnsi="Times New Roman" w:eastAsia="方正仿宋_GBK" w:cs="Times New Roman"/>
        </w:rPr>
      </w:pPr>
      <w:r>
        <w:rPr>
          <w:rFonts w:ascii="Times New Roman" w:hAnsi="Times New Roman" w:eastAsia="方正仿宋_GBK" w:cs="Times New Roman"/>
        </w:rPr>
        <w:t>按照项目绩效评价要求，2024年残疾人就业保障业务经费（含精神防治、卫生综合管理经费）项目做绩效评价。该项目1个主项目，均于2024年完成。</w:t>
      </w:r>
    </w:p>
    <w:p w14:paraId="6683F614">
      <w:pPr>
        <w:spacing w:line="560" w:lineRule="exact"/>
        <w:rPr>
          <w:rFonts w:ascii="Times New Roman" w:hAnsi="Times New Roman" w:eastAsia="方正仿宋_GBK" w:cs="Times New Roman"/>
        </w:rPr>
      </w:pPr>
      <w:r>
        <w:rPr>
          <w:rFonts w:ascii="Times New Roman" w:hAnsi="Times New Roman" w:eastAsia="方正仿宋_GBK" w:cs="Times New Roman"/>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D5A5CEF">
      <w:pPr>
        <w:spacing w:line="560" w:lineRule="exact"/>
        <w:rPr>
          <w:rFonts w:ascii="Times New Roman" w:hAnsi="Times New Roman" w:eastAsia="方正仿宋_GBK" w:cs="Times New Roman"/>
        </w:rPr>
      </w:pPr>
      <w:r>
        <w:rPr>
          <w:rFonts w:ascii="Times New Roman" w:hAnsi="Times New Roman" w:eastAsia="方正仿宋_GBK" w:cs="Times New Roman"/>
        </w:rPr>
        <w:t>2024年实际完成情况为</w:t>
      </w:r>
      <w:r>
        <w:rPr>
          <w:rFonts w:hint="eastAsia" w:ascii="Times New Roman" w:hAnsi="Times New Roman" w:eastAsia="方正仿宋_GBK" w:cs="Times New Roman"/>
        </w:rPr>
        <w:t>：</w:t>
      </w:r>
      <w:r>
        <w:rPr>
          <w:rFonts w:ascii="Times New Roman" w:hAnsi="Times New Roman" w:eastAsia="方正仿宋_GBK" w:cs="Times New Roman"/>
        </w:rPr>
        <w:t>（一）发放辖区内残疾人符合享受条件的居家托养补助资金、寄宿者托养补助资金、残疾人租住廉租房补贴、残疾儿童康复补助、残疾</w:t>
      </w:r>
      <w:r>
        <w:rPr>
          <w:rFonts w:hint="eastAsia" w:ascii="Times New Roman" w:hAnsi="Times New Roman" w:eastAsia="方正仿宋_GBK" w:cs="Times New Roman"/>
        </w:rPr>
        <w:t>学生</w:t>
      </w:r>
      <w:r>
        <w:rPr>
          <w:rFonts w:ascii="Times New Roman" w:hAnsi="Times New Roman" w:eastAsia="方正仿宋_GBK" w:cs="Times New Roman"/>
        </w:rPr>
        <w:t>学费补贴、残疾职业教育补助资金、重大节假日慰问</w:t>
      </w:r>
      <w:r>
        <w:rPr>
          <w:rFonts w:hint="eastAsia" w:ascii="Times New Roman" w:hAnsi="Times New Roman" w:eastAsia="方正仿宋_GBK" w:cs="Times New Roman"/>
        </w:rPr>
        <w:t>、残疾人自主创业、个体就业扶持补贴</w:t>
      </w:r>
      <w:r>
        <w:rPr>
          <w:rFonts w:ascii="Times New Roman" w:hAnsi="Times New Roman" w:eastAsia="方正仿宋_GBK" w:cs="Times New Roman"/>
        </w:rPr>
        <w:t>等等。</w:t>
      </w:r>
    </w:p>
    <w:p w14:paraId="21B0C4BC">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3.资金投入和使用情况</w:t>
      </w:r>
    </w:p>
    <w:p w14:paraId="32B3BC6F">
      <w:pPr>
        <w:spacing w:line="560" w:lineRule="exact"/>
        <w:rPr>
          <w:rFonts w:ascii="Times New Roman" w:hAnsi="Times New Roman" w:eastAsia="方正仿宋_GBK" w:cs="Times New Roman"/>
        </w:rPr>
      </w:pPr>
      <w:r>
        <w:rPr>
          <w:rFonts w:ascii="Times New Roman" w:hAnsi="Times New Roman" w:eastAsia="方正仿宋_GBK" w:cs="Times New Roman"/>
        </w:rPr>
        <w:t>（1）资金投入情况</w:t>
      </w:r>
    </w:p>
    <w:p w14:paraId="0DFB946D">
      <w:pPr>
        <w:spacing w:line="560" w:lineRule="exact"/>
        <w:rPr>
          <w:rFonts w:ascii="Times New Roman" w:hAnsi="Times New Roman" w:eastAsia="方正仿宋_GBK" w:cs="Times New Roman"/>
        </w:rPr>
      </w:pPr>
      <w:r>
        <w:rPr>
          <w:rFonts w:ascii="Times New Roman" w:hAnsi="Times New Roman" w:eastAsia="方正仿宋_GBK" w:cs="Times New Roman"/>
        </w:rPr>
        <w:t>该项目年初预算数105.14万元，全年预算数105.14万元，实际总投入88.68万元，该项目资金已全部落实到位88.68万元，资金来源为</w:t>
      </w:r>
      <w:r>
        <w:rPr>
          <w:rFonts w:hint="eastAsia" w:ascii="Times New Roman" w:hAnsi="Times New Roman" w:eastAsia="方正仿宋_GBK" w:cs="Times New Roman"/>
        </w:rPr>
        <w:t>区级</w:t>
      </w:r>
      <w:r>
        <w:rPr>
          <w:rFonts w:ascii="Times New Roman" w:hAnsi="Times New Roman" w:eastAsia="方正仿宋_GBK" w:cs="Times New Roman"/>
        </w:rPr>
        <w:t>财政拨款。</w:t>
      </w:r>
    </w:p>
    <w:p w14:paraId="51E58E37">
      <w:pPr>
        <w:spacing w:line="560" w:lineRule="exact"/>
        <w:rPr>
          <w:rFonts w:ascii="Times New Roman" w:hAnsi="Times New Roman" w:eastAsia="方正仿宋_GBK" w:cs="Times New Roman"/>
        </w:rPr>
      </w:pPr>
      <w:r>
        <w:rPr>
          <w:rFonts w:ascii="Times New Roman" w:hAnsi="Times New Roman" w:eastAsia="方正仿宋_GBK" w:cs="Times New Roman"/>
        </w:rPr>
        <w:t>（2）资金使用情况</w:t>
      </w:r>
    </w:p>
    <w:p w14:paraId="6F889F02">
      <w:pPr>
        <w:spacing w:line="560" w:lineRule="exact"/>
        <w:rPr>
          <w:rFonts w:ascii="Times New Roman" w:hAnsi="Times New Roman" w:eastAsia="方正仿宋_GBK" w:cs="Times New Roman"/>
        </w:rPr>
      </w:pPr>
      <w:r>
        <w:rPr>
          <w:rFonts w:ascii="Times New Roman" w:hAnsi="Times New Roman" w:eastAsia="方正仿宋_GBK" w:cs="Times New Roman"/>
        </w:rPr>
        <w:t>该项目年初预算数105.14万元，全年预算数105.14万元,全年执行数88.68万元，预算执行率为84.34%，主要用于：发放辖区内残疾人符合享受条件的居家托养补助资金、寄宿者托养补助资金、残疾人租住廉租房补贴、残疾儿童康复补助、残疾人学费补贴、残疾职业教育补助资金、重大节假日慰问残疾人</w:t>
      </w:r>
      <w:r>
        <w:rPr>
          <w:rFonts w:hint="eastAsia" w:ascii="Times New Roman" w:hAnsi="Times New Roman" w:eastAsia="方正仿宋_GBK" w:cs="Times New Roman"/>
        </w:rPr>
        <w:t>、残疾人自主创业、个体就业扶持补贴</w:t>
      </w:r>
      <w:r>
        <w:rPr>
          <w:rFonts w:ascii="Times New Roman" w:hAnsi="Times New Roman" w:eastAsia="方正仿宋_GBK" w:cs="Times New Roman"/>
        </w:rPr>
        <w:t>等等。</w:t>
      </w:r>
    </w:p>
    <w:p w14:paraId="7F9DCA31">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（二）项目绩效目标</w:t>
      </w:r>
    </w:p>
    <w:p w14:paraId="39874850">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1.</w:t>
      </w:r>
      <w:r>
        <w:rPr>
          <w:rFonts w:hint="eastAsia" w:ascii="方正仿宋_GBK" w:hAnsi="方正仿宋_GBK" w:eastAsia="方正仿宋_GBK" w:cs="方正仿宋_GBK"/>
          <w:b/>
          <w:bCs/>
        </w:rPr>
        <w:t>总体目标</w:t>
      </w:r>
    </w:p>
    <w:p w14:paraId="0CED90E0">
      <w:pPr>
        <w:spacing w:line="560" w:lineRule="exact"/>
        <w:rPr>
          <w:rFonts w:ascii="Times New Roman" w:hAnsi="Times New Roman" w:eastAsia="方正仿宋_GBK" w:cs="Times New Roman"/>
        </w:rPr>
      </w:pPr>
      <w:r>
        <w:rPr>
          <w:rFonts w:ascii="Times New Roman" w:hAnsi="Times New Roman" w:eastAsia="方正仿宋_GBK" w:cs="Times New Roman"/>
        </w:rPr>
        <w:t>此项目2024年主要用于支持辖区内持证残疾人就业和保障残疾人基本生活、在辖区内开展残疾人慰问，临时救助、发放辖区内残疾人符合享受条件的居家托养补助资金、寄宿者托养补助资金、残疾人租住廉租房补贴、残疾儿童康复补助、残疾人学费补贴、残疾就业、培训等惠民活动，完成各项任务。</w:t>
      </w:r>
    </w:p>
    <w:p w14:paraId="0F477912">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2.阶段性目标</w:t>
      </w:r>
    </w:p>
    <w:p w14:paraId="47E6B315">
      <w:pPr>
        <w:spacing w:line="560" w:lineRule="exact"/>
        <w:rPr>
          <w:rFonts w:ascii="Times New Roman" w:hAnsi="Times New Roman" w:eastAsia="方正仿宋_GBK" w:cs="Times New Roman"/>
        </w:rPr>
      </w:pPr>
      <w:r>
        <w:rPr>
          <w:rFonts w:ascii="Times New Roman" w:hAnsi="Times New Roman" w:eastAsia="方正仿宋_GBK" w:cs="Times New Roman"/>
        </w:rPr>
        <w:t>此项目2024年主要用于支持辖区内持证残疾人就业和保障残疾人基本生活、按季度发放符合条件的重度残疾人居家托养补贴，全年人数达到1645人，金额达到47.95万元、按照康复周期拨款，儿童康复救人数10人，金额达到10.2万元、按季度发放寄宿制托养，人数达到为22人、发放金额为：14333元；按季度发放200多残疾人廉租房补贴81354元。节假日慰问困难残疾人200多户，金额4万元、一次性发放残疾人鉴定补贴29人，金额11500元，一次性发放11名学习机动车驾驶技能培训学费补贴27664元，一次性发放残疾人自主创业补贴23人、金额6.9万元。辖区内开展临时救助困难残疾人、残疾人就业、残疾人培训等。</w:t>
      </w:r>
    </w:p>
    <w:p w14:paraId="08100F1C">
      <w:pPr>
        <w:spacing w:line="560" w:lineRule="exact"/>
        <w:rPr>
          <w:rFonts w:ascii="方正黑体_GBK" w:hAnsi="方正黑体_GBK" w:eastAsia="方正黑体_GBK" w:cs="方正黑体_GBK"/>
        </w:rPr>
      </w:pPr>
      <w:r>
        <w:rPr>
          <w:rFonts w:hint="eastAsia" w:ascii="方正黑体_GBK" w:hAnsi="方正黑体_GBK" w:eastAsia="方正黑体_GBK" w:cs="方正黑体_GBK"/>
        </w:rPr>
        <w:t>二、绩效评价工作开展情况</w:t>
      </w:r>
    </w:p>
    <w:p w14:paraId="3705533F">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（一）绩效评价目的、对象和范围</w:t>
      </w:r>
    </w:p>
    <w:p w14:paraId="6E282469">
      <w:pPr>
        <w:spacing w:line="560" w:lineRule="exact"/>
        <w:ind w:firstLine="641"/>
        <w:rPr>
          <w:rFonts w:hint="eastAsia" w:ascii="Times New Roman" w:hAnsi="Times New Roman" w:eastAsia="方正仿宋_GBK" w:cs="Times New Roman"/>
          <w:b/>
          <w:bCs/>
        </w:rPr>
      </w:pPr>
      <w:r>
        <w:rPr>
          <w:rFonts w:ascii="Times New Roman" w:hAnsi="Times New Roman" w:eastAsia="方正仿宋_GBK" w:cs="Times New Roman"/>
          <w:b/>
          <w:bCs/>
        </w:rPr>
        <w:t>1.绩效评价的</w:t>
      </w:r>
      <w:r>
        <w:rPr>
          <w:rFonts w:hint="eastAsia" w:ascii="Times New Roman" w:hAnsi="Times New Roman" w:eastAsia="方正仿宋_GBK" w:cs="Times New Roman"/>
          <w:b/>
          <w:bCs/>
        </w:rPr>
        <w:t>目的</w:t>
      </w:r>
    </w:p>
    <w:p w14:paraId="48AA7F6C">
      <w:pPr>
        <w:pStyle w:val="2"/>
        <w:jc w:val="both"/>
        <w:rPr>
          <w:rFonts w:ascii="Times New Roman" w:hAnsi="Times New Roman" w:eastAsia="方正仿宋_GBK" w:cs="Times New Roman"/>
          <w:b w:val="0"/>
          <w:bCs w:val="0"/>
          <w:kern w:val="2"/>
        </w:rPr>
      </w:pPr>
      <w:r>
        <w:rPr>
          <w:rFonts w:hint="eastAsia" w:ascii="Times New Roman" w:hAnsi="Times New Roman" w:eastAsia="方正仿宋_GBK" w:cs="Times New Roman"/>
          <w:b w:val="0"/>
          <w:bCs w:val="0"/>
          <w:kern w:val="2"/>
        </w:rPr>
        <w:t>评价对象为水区残联2024年残疾人就业保障金项目，是经常性项目，主要资金用途即为保障残疾人的各类服务，比如辅具适配、精准康复、就业扶持、上学及受教育的补助、重度困难残疾人居家托养补助、残疾人租住廉租房补助等。器</w:t>
      </w:r>
    </w:p>
    <w:p w14:paraId="7BF1FD01">
      <w:pPr>
        <w:spacing w:line="560" w:lineRule="exact"/>
        <w:rPr>
          <w:rFonts w:ascii="Times New Roman" w:hAnsi="Times New Roman" w:eastAsia="方正仿宋_GBK" w:cs="Times New Roman"/>
        </w:rPr>
      </w:pPr>
      <w:r>
        <w:rPr>
          <w:rFonts w:ascii="Times New Roman" w:hAnsi="Times New Roman" w:eastAsia="方正仿宋_GBK" w:cs="Times New Roma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A41DD1E">
      <w:pPr>
        <w:spacing w:line="560" w:lineRule="exact"/>
        <w:rPr>
          <w:rFonts w:ascii="Times New Roman" w:hAnsi="Times New Roman" w:eastAsia="方正仿宋_GBK" w:cs="Times New Roman"/>
        </w:rPr>
      </w:pPr>
      <w:r>
        <w:rPr>
          <w:rFonts w:hint="eastAsia" w:ascii="Times New Roman" w:hAnsi="Times New Roman" w:eastAsia="方正仿宋_GBK" w:cs="Times New Roman"/>
        </w:rPr>
        <w:t>（1）</w:t>
      </w:r>
      <w:r>
        <w:rPr>
          <w:rFonts w:ascii="Times New Roman" w:hAnsi="Times New Roman" w:eastAsia="方正仿宋_GBK" w:cs="Times New Roman"/>
        </w:rPr>
        <w:t>项目在实施前向项目负责人提供财政支出绩效方面的资金管理信息，促进项目支出严格按照资金管理规定进行。</w:t>
      </w:r>
    </w:p>
    <w:p w14:paraId="1A0AE2DC">
      <w:pPr>
        <w:spacing w:line="560" w:lineRule="exact"/>
        <w:rPr>
          <w:rFonts w:ascii="Times New Roman" w:hAnsi="Times New Roman" w:eastAsia="方正仿宋_GBK" w:cs="Times New Roman"/>
        </w:rPr>
      </w:pPr>
      <w:r>
        <w:rPr>
          <w:rFonts w:ascii="Times New Roman" w:hAnsi="Times New Roman" w:eastAsia="方正仿宋_GBK" w:cs="Times New Roman"/>
        </w:rPr>
        <w:t>（2）项目绩效管理财政支出运行提供及时、有效的信息。</w:t>
      </w:r>
    </w:p>
    <w:p w14:paraId="61B05547">
      <w:pPr>
        <w:spacing w:line="560" w:lineRule="exact"/>
        <w:rPr>
          <w:rFonts w:ascii="Times New Roman" w:hAnsi="Times New Roman" w:eastAsia="方正仿宋_GBK" w:cs="Times New Roman"/>
        </w:rPr>
      </w:pPr>
      <w:r>
        <w:rPr>
          <w:rFonts w:ascii="Times New Roman" w:hAnsi="Times New Roman" w:eastAsia="方正仿宋_GBK" w:cs="Times New Roma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FBC08C7">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2.绩效评价的对象</w:t>
      </w:r>
    </w:p>
    <w:p w14:paraId="080AA580">
      <w:pPr>
        <w:spacing w:line="560" w:lineRule="exact"/>
        <w:rPr>
          <w:rFonts w:ascii="Times New Roman" w:hAnsi="Times New Roman" w:eastAsia="方正仿宋_GBK" w:cs="Times New Roman"/>
        </w:rPr>
      </w:pPr>
      <w:r>
        <w:rPr>
          <w:rFonts w:ascii="Times New Roman" w:hAnsi="Times New Roman" w:eastAsia="方正仿宋_GBK" w:cs="Times New Roman"/>
        </w:rPr>
        <w:t>评价对象为水区残联2024年残疾人就业保障金项目，是经常性项目，主要资金用途即为保障残疾人的各类服务，比如残疾人就业扶持、培训、上学及受教育的补助、困难</w:t>
      </w:r>
      <w:r>
        <w:rPr>
          <w:rFonts w:hint="eastAsia" w:ascii="Times New Roman" w:hAnsi="Times New Roman" w:eastAsia="方正仿宋_GBK" w:cs="Times New Roman"/>
        </w:rPr>
        <w:t>残疾</w:t>
      </w:r>
      <w:r>
        <w:rPr>
          <w:rFonts w:ascii="Times New Roman" w:hAnsi="Times New Roman" w:eastAsia="方正仿宋_GBK" w:cs="Times New Roman"/>
        </w:rPr>
        <w:t>人生活补助、租住</w:t>
      </w:r>
      <w:r>
        <w:rPr>
          <w:rFonts w:hint="eastAsia" w:ascii="Times New Roman" w:hAnsi="Times New Roman" w:eastAsia="方正仿宋_GBK" w:cs="Times New Roman"/>
        </w:rPr>
        <w:t>廉</w:t>
      </w:r>
      <w:r>
        <w:rPr>
          <w:rFonts w:ascii="Times New Roman" w:hAnsi="Times New Roman" w:eastAsia="方正仿宋_GBK" w:cs="Times New Roman"/>
        </w:rPr>
        <w:t>租房补助</w:t>
      </w:r>
      <w:r>
        <w:rPr>
          <w:rFonts w:hint="eastAsia" w:ascii="Times New Roman" w:hAnsi="Times New Roman" w:eastAsia="方正仿宋_GBK" w:cs="Times New Roman"/>
        </w:rPr>
        <w:t>、</w:t>
      </w:r>
      <w:r>
        <w:rPr>
          <w:rFonts w:ascii="Times New Roman" w:hAnsi="Times New Roman" w:eastAsia="方正仿宋_GBK" w:cs="Times New Roman"/>
        </w:rPr>
        <w:t>残疾儿童康复补助、残疾</w:t>
      </w:r>
      <w:r>
        <w:rPr>
          <w:rFonts w:hint="eastAsia" w:ascii="Times New Roman" w:hAnsi="Times New Roman" w:eastAsia="方正仿宋_GBK" w:cs="Times New Roman"/>
        </w:rPr>
        <w:t>学生</w:t>
      </w:r>
      <w:r>
        <w:rPr>
          <w:rFonts w:ascii="Times New Roman" w:hAnsi="Times New Roman" w:eastAsia="方正仿宋_GBK" w:cs="Times New Roman"/>
        </w:rPr>
        <w:t>学费补贴、残疾职业教育补助资金、重大节假日慰问残疾人</w:t>
      </w:r>
      <w:r>
        <w:rPr>
          <w:rFonts w:hint="eastAsia" w:ascii="Times New Roman" w:hAnsi="Times New Roman" w:eastAsia="方正仿宋_GBK" w:cs="Times New Roman"/>
        </w:rPr>
        <w:t>、残疾人自主创业、个体就业扶持补贴</w:t>
      </w:r>
      <w:r>
        <w:rPr>
          <w:rFonts w:ascii="Times New Roman" w:hAnsi="Times New Roman" w:eastAsia="方正仿宋_GBK" w:cs="Times New Roman"/>
        </w:rPr>
        <w:t>等等。</w:t>
      </w:r>
    </w:p>
    <w:p w14:paraId="13F90C20">
      <w:pPr>
        <w:spacing w:line="560" w:lineRule="exact"/>
        <w:ind w:firstLine="641"/>
        <w:rPr>
          <w:rFonts w:ascii="Times New Roman" w:hAnsi="Times New Roman" w:eastAsia="方正仿宋_GBK" w:cs="Times New Roman"/>
          <w:b/>
          <w:bCs/>
        </w:rPr>
      </w:pPr>
      <w:r>
        <w:rPr>
          <w:rFonts w:ascii="Times New Roman" w:hAnsi="Times New Roman" w:eastAsia="方正仿宋_GBK" w:cs="Times New Roman"/>
          <w:b/>
          <w:bCs/>
        </w:rPr>
        <w:t>3.绩效评价的范围</w:t>
      </w:r>
    </w:p>
    <w:p w14:paraId="20A076A9">
      <w:pPr>
        <w:spacing w:line="560" w:lineRule="exact"/>
        <w:rPr>
          <w:rFonts w:ascii="Times New Roman" w:hAnsi="Times New Roman" w:eastAsia="方正仿宋_GBK" w:cs="Times New Roman"/>
        </w:rPr>
      </w:pPr>
      <w:r>
        <w:rPr>
          <w:rFonts w:ascii="Times New Roman" w:hAnsi="Times New Roman" w:eastAsia="方正仿宋_GBK" w:cs="Times New Roman"/>
        </w:rPr>
        <w:t>本次评价从项目决策（包括绩效目标、决策过程）、项目管理（包括项目资金、项目实施）、项目产出（包括项目产出数量、产出质量、产出时效和产出成本）项目效益四个维度对残疾人就业保障业务经费进行评价，评价核心为专项资金的支出完成情况和效果。</w:t>
      </w:r>
    </w:p>
    <w:p w14:paraId="25DF44B7">
      <w:pPr>
        <w:spacing w:line="560" w:lineRule="exact"/>
        <w:rPr>
          <w:rFonts w:ascii="Times New Roman" w:hAnsi="Times New Roman" w:eastAsia="方正仿宋_GBK" w:cs="Times New Roman"/>
        </w:rPr>
      </w:pPr>
      <w:r>
        <w:rPr>
          <w:rFonts w:ascii="Times New Roman" w:hAnsi="Times New Roman" w:eastAsia="方正仿宋_GBK" w:cs="Times New Roman"/>
        </w:rPr>
        <w:t>（1）时间范围：2024年1月1日至2024年12月31日。</w:t>
      </w:r>
    </w:p>
    <w:p w14:paraId="3D4F38C4">
      <w:pPr>
        <w:spacing w:line="560" w:lineRule="exact"/>
        <w:rPr>
          <w:rFonts w:ascii="Times New Roman" w:hAnsi="Times New Roman" w:eastAsia="方正仿宋_GBK" w:cs="Times New Roman"/>
        </w:rPr>
      </w:pPr>
      <w:r>
        <w:rPr>
          <w:rFonts w:ascii="Times New Roman" w:hAnsi="Times New Roman" w:eastAsia="方正仿宋_GBK" w:cs="Times New Roman"/>
        </w:rPr>
        <w:t>（2）项目范围：这个项目主要内容及体现效益为：</w:t>
      </w:r>
    </w:p>
    <w:p w14:paraId="22003C29">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①</w:t>
      </w:r>
      <w:r>
        <w:rPr>
          <w:rFonts w:ascii="Times New Roman" w:hAnsi="Times New Roman" w:eastAsia="方正仿宋_GBK" w:cs="Times New Roman"/>
        </w:rPr>
        <w:t>给辖区内符合发放条件的1645名重度残疾人发放居家托养补助资金，保障残疾人基本生活，提升其安全感、获得感、幸福感；</w:t>
      </w:r>
    </w:p>
    <w:p w14:paraId="7C9CB60A">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②</w:t>
      </w:r>
      <w:r>
        <w:rPr>
          <w:rFonts w:ascii="Times New Roman" w:hAnsi="Times New Roman" w:eastAsia="方正仿宋_GBK" w:cs="Times New Roman"/>
        </w:rPr>
        <w:t>开展辖区内持证3900名残疾人各项服务工作，比如残疾人居家托养（300元/人/季度）、寄宿制托养（1000元/人/季度）、廉租房补贴、残疾人办证补贴、残疾学生就学补助，残疾儿童康复补助、精神类残疾人享受免费服药补贴、残疾人养老补贴及其他临时性补贴等等，残保金用途广泛、为残疾人提供多项服务，对困难群众应救尽救、应保尽保。</w:t>
      </w:r>
    </w:p>
    <w:p w14:paraId="18339853">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③</w:t>
      </w:r>
      <w:r>
        <w:rPr>
          <w:rFonts w:ascii="Times New Roman" w:hAnsi="Times New Roman" w:eastAsia="方正仿宋_GBK" w:cs="Times New Roman"/>
        </w:rPr>
        <w:t>资助困难残疾学生1人、年初设定目标12人、在执行中因政策调整、残疾学生的学费补贴由爱心天使基金会承担，不在由残疾人就业保障业务经费列支，保障残疾学生顺利完成学业，营造和谐社会氛围；</w:t>
      </w:r>
    </w:p>
    <w:p w14:paraId="7E695AD9">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④</w:t>
      </w:r>
      <w:r>
        <w:rPr>
          <w:rFonts w:ascii="Times New Roman" w:hAnsi="Times New Roman" w:eastAsia="方正仿宋_GBK" w:cs="Times New Roman"/>
        </w:rPr>
        <w:t>在重大节日来临之际，困难群众进行慰问200户，送去节日的问候，提升困难群众的安全感、获得感、幸福感；</w:t>
      </w:r>
    </w:p>
    <w:p w14:paraId="18D12483">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⑤</w:t>
      </w:r>
      <w:r>
        <w:rPr>
          <w:rFonts w:ascii="Times New Roman" w:hAnsi="Times New Roman" w:eastAsia="方正仿宋_GBK" w:cs="Times New Roman"/>
        </w:rPr>
        <w:t>重度残疾人居家托养补贴目标人群全覆盖，按照应保尽保、应救尽救、一个不漏原则，符合发放条件的人群全覆盖100%。</w:t>
      </w:r>
    </w:p>
    <w:p w14:paraId="1EBC0121">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⑥</w:t>
      </w:r>
      <w:r>
        <w:rPr>
          <w:rFonts w:ascii="Times New Roman" w:hAnsi="Times New Roman" w:eastAsia="方正仿宋_GBK" w:cs="Times New Roman"/>
        </w:rPr>
        <w:t>开展残疾人职业培训、职业教育和职业康复支出，发放各项补贴、保障残疾人融入社会、参与社会，提高残疾人就业率，提升其安全感、获得感、幸福感；</w:t>
      </w:r>
    </w:p>
    <w:p w14:paraId="2D0E675F">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⑦</w:t>
      </w:r>
      <w:r>
        <w:rPr>
          <w:rFonts w:ascii="Times New Roman" w:hAnsi="Times New Roman" w:eastAsia="方正仿宋_GBK" w:cs="Times New Roman"/>
        </w:rPr>
        <w:t>发放辖区1645名符合条件的残疾人</w:t>
      </w:r>
      <w:r>
        <w:rPr>
          <w:rFonts w:hint="eastAsia" w:ascii="Times New Roman" w:hAnsi="Times New Roman" w:eastAsia="方正仿宋_GBK" w:cs="Times New Roman"/>
        </w:rPr>
        <w:t>、</w:t>
      </w:r>
      <w:r>
        <w:rPr>
          <w:rFonts w:ascii="Times New Roman" w:hAnsi="Times New Roman" w:eastAsia="方正仿宋_GBK" w:cs="Times New Roman"/>
        </w:rPr>
        <w:t>按季度发放300元/人/季度居家托养补贴。</w:t>
      </w:r>
    </w:p>
    <w:p w14:paraId="60CBB658">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⑧</w:t>
      </w:r>
      <w:r>
        <w:rPr>
          <w:rFonts w:ascii="Times New Roman" w:hAnsi="Times New Roman" w:eastAsia="方正仿宋_GBK" w:cs="Times New Roman"/>
        </w:rPr>
        <w:t>开展其他临时性支出，受托残疾人满意度达到100%</w:t>
      </w:r>
    </w:p>
    <w:p w14:paraId="3CE2964D">
      <w:pPr>
        <w:spacing w:line="560" w:lineRule="exact"/>
        <w:rPr>
          <w:rFonts w:ascii="Times New Roman" w:hAnsi="Times New Roman" w:eastAsia="方正仿宋_GBK" w:cs="Times New Roman"/>
        </w:rPr>
      </w:pPr>
      <w:r>
        <w:rPr>
          <w:rFonts w:ascii="Times New Roman" w:hAnsi="Times New Roman" w:eastAsia="方正仿宋_GBK" w:cs="Times New Roman"/>
        </w:rPr>
        <w:t>该项目评价使用了成本效益分析法和比较法，数据从本单位业务科室收集补贴人员档案信息、党政办收集项目执行和支付有关的党组会议纪要、财务科收集国库集中支付回单、补贴银行打卡明细回单等相关凭证、辖区居民收集调查问卷等资料等方式获取；最终评分结果：总分为88.67分，绩效评级为“良”。</w:t>
      </w:r>
    </w:p>
    <w:p w14:paraId="2BBE13F9">
      <w:pPr>
        <w:spacing w:line="560" w:lineRule="exact"/>
        <w:rPr>
          <w:rFonts w:ascii="Times New Roman" w:hAnsi="Times New Roman" w:eastAsia="方正仿宋_GBK" w:cs="Times New Roman"/>
        </w:rPr>
      </w:pPr>
      <w:r>
        <w:rPr>
          <w:rFonts w:ascii="Times New Roman" w:hAnsi="Times New Roman" w:eastAsia="方正仿宋_GBK" w:cs="Times New Roman"/>
        </w:rPr>
        <w:t>该项目存在的问题：管理制度不够完善、管理形式单一、预算管理、财务管理仍显薄弱；残保金项目涉及支出比较多，支付操作流程复杂，各业务口子专干更换频繁，财务人员与业务专干沟通少。</w:t>
      </w:r>
      <w:r>
        <w:rPr>
          <w:rFonts w:hint="eastAsia" w:ascii="Times New Roman" w:hAnsi="Times New Roman" w:eastAsia="方正仿宋_GBK" w:cs="Times New Roman"/>
        </w:rPr>
        <w:t>判判</w:t>
      </w:r>
    </w:p>
    <w:p w14:paraId="32669D39">
      <w:pPr>
        <w:spacing w:line="560" w:lineRule="exact"/>
        <w:rPr>
          <w:rFonts w:ascii="Times New Roman" w:hAnsi="Times New Roman" w:eastAsia="方正仿宋_GBK" w:cs="Times New Roman"/>
        </w:rPr>
      </w:pPr>
      <w:r>
        <w:rPr>
          <w:rFonts w:ascii="Times New Roman" w:hAnsi="Times New Roman" w:eastAsia="方正仿宋_GBK" w:cs="Times New Roman"/>
        </w:rPr>
        <w:t>后续根据实际情况，制定实施管理办法，对辅助性的各项服务进行更好地管理，适当地创新残疾人服务体系和保障体系建设。建议制定各业务科室专门的支付管理办法和支付操作流程。</w:t>
      </w:r>
    </w:p>
    <w:p w14:paraId="3CEDF63D">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（二）绩效评价原则、评价指标体系（详情见附件2）、评价方法、评价标准</w:t>
      </w:r>
    </w:p>
    <w:p w14:paraId="5740E9D7">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1.绩效评价原则</w:t>
      </w:r>
    </w:p>
    <w:p w14:paraId="1B732AF9">
      <w:pPr>
        <w:spacing w:line="560" w:lineRule="exact"/>
        <w:rPr>
          <w:rFonts w:hint="eastAsia" w:ascii="Times New Roman" w:hAnsi="Times New Roman" w:eastAsia="方正仿宋_GBK" w:cs="Times New Roman"/>
        </w:rPr>
      </w:pPr>
      <w:r>
        <w:rPr>
          <w:rFonts w:ascii="Times New Roman" w:hAnsi="Times New Roman" w:eastAsia="方正仿宋_GBK" w:cs="Times New Roman"/>
        </w:rPr>
        <w:t>本次项目绩效评价遵循以下基本原则：</w:t>
      </w:r>
    </w:p>
    <w:p w14:paraId="175BA923">
      <w:pPr>
        <w:spacing w:line="560" w:lineRule="exact"/>
        <w:rPr>
          <w:rFonts w:ascii="Times New Roman" w:hAnsi="Times New Roman" w:eastAsia="方正仿宋_GBK" w:cs="Times New Roman"/>
        </w:rPr>
      </w:pPr>
      <w:r>
        <w:rPr>
          <w:rFonts w:hint="eastAsia" w:ascii="Times New Roman" w:hAnsi="Times New Roman" w:eastAsia="方正仿宋_GBK" w:cs="Times New Roman"/>
        </w:rPr>
        <w:t>绩效评价标准采用计划和历史标准来制定，同时以预先制定的目标、计划、预算和参照历史数据制定的评价标准来对绩效指标完成情况进行评价。</w:t>
      </w:r>
    </w:p>
    <w:p w14:paraId="312AD0C3">
      <w:pPr>
        <w:spacing w:line="560" w:lineRule="exact"/>
        <w:rPr>
          <w:rFonts w:ascii="Times New Roman" w:hAnsi="Times New Roman" w:eastAsia="方正仿宋_GBK" w:cs="Times New Roman"/>
        </w:rPr>
      </w:pPr>
      <w:r>
        <w:rPr>
          <w:rFonts w:ascii="Times New Roman" w:hAnsi="Times New Roman" w:eastAsia="方正仿宋_GBK" w:cs="Times New Roman"/>
        </w:rPr>
        <w:t>（1）科学公正。绩效评价应当运用科学合理的方法，按照规范的程序，对项目绩效进行客观、公正的反映。</w:t>
      </w:r>
    </w:p>
    <w:p w14:paraId="2D85FA87">
      <w:pPr>
        <w:spacing w:line="560" w:lineRule="exact"/>
        <w:rPr>
          <w:rFonts w:ascii="Times New Roman" w:hAnsi="Times New Roman" w:eastAsia="方正仿宋_GBK" w:cs="Times New Roman"/>
        </w:rPr>
      </w:pPr>
      <w:r>
        <w:rPr>
          <w:rFonts w:ascii="Times New Roman" w:hAnsi="Times New Roman" w:eastAsia="方正仿宋_GBK" w:cs="Times New Roman"/>
        </w:rPr>
        <w:t>（2）统筹兼顾。单位自评、部门评价和财政评价应职责明确，各有侧重，相互衔接。单位自评应由项目单位自主实施，即“谁支出、谁自评”。部门评价和财政评价应在单位自评的基础上开展。</w:t>
      </w:r>
    </w:p>
    <w:p w14:paraId="1D41DF21">
      <w:pPr>
        <w:spacing w:line="560" w:lineRule="exact"/>
        <w:rPr>
          <w:rFonts w:ascii="Times New Roman" w:hAnsi="Times New Roman" w:eastAsia="方正仿宋_GBK" w:cs="Times New Roman"/>
        </w:rPr>
      </w:pPr>
      <w:r>
        <w:rPr>
          <w:rFonts w:ascii="Times New Roman" w:hAnsi="Times New Roman" w:eastAsia="方正仿宋_GBK" w:cs="Times New Roman"/>
        </w:rPr>
        <w:t>（3）激励约束。绩效评价结果应与预算安排、政策调整、改进管理实质性挂钩，体现奖优罚劣和激励相容导向，有效要安排、低效要压减、无效要问责。</w:t>
      </w:r>
    </w:p>
    <w:p w14:paraId="595D2B72">
      <w:pPr>
        <w:spacing w:line="560" w:lineRule="exact"/>
        <w:rPr>
          <w:rFonts w:hint="eastAsia" w:ascii="Times New Roman" w:hAnsi="Times New Roman" w:eastAsia="方正仿宋_GBK" w:cs="Times New Roman"/>
        </w:rPr>
      </w:pPr>
      <w:r>
        <w:rPr>
          <w:rFonts w:ascii="Times New Roman" w:hAnsi="Times New Roman" w:eastAsia="方正仿宋_GBK" w:cs="Times New Roman"/>
        </w:rPr>
        <w:t>（4）公开透明。绩效评价结果应依法依规公开，并自觉接受社会监督。</w:t>
      </w:r>
    </w:p>
    <w:p w14:paraId="3C76381D">
      <w:pPr>
        <w:spacing w:line="560" w:lineRule="exact"/>
        <w:ind w:firstLine="641"/>
        <w:rPr>
          <w:rFonts w:ascii="Times New Roman" w:hAnsi="Times New Roman" w:eastAsia="方正仿宋_GBK" w:cs="Times New Roman"/>
          <w:b/>
          <w:bCs/>
        </w:rPr>
      </w:pPr>
      <w:r>
        <w:rPr>
          <w:rFonts w:ascii="Times New Roman" w:hAnsi="Times New Roman" w:eastAsia="方正仿宋_GBK" w:cs="Times New Roman"/>
          <w:b/>
          <w:bCs/>
        </w:rPr>
        <w:t>2.评价指标体系</w:t>
      </w:r>
    </w:p>
    <w:p w14:paraId="5103212F">
      <w:pPr>
        <w:spacing w:line="560" w:lineRule="exact"/>
        <w:rPr>
          <w:rFonts w:ascii="Times New Roman" w:hAnsi="Times New Roman" w:eastAsia="方正仿宋_GBK" w:cs="Times New Roman"/>
        </w:rPr>
      </w:pPr>
      <w:r>
        <w:rPr>
          <w:rFonts w:ascii="Times New Roman" w:hAnsi="Times New Roman" w:eastAsia="方正仿宋_GBK" w:cs="Times New Roman"/>
        </w:rPr>
        <w:t>绩效评价框架是开展绩效评价的核心。绩效评价框架包括评价准则、关键评价问题、评价指标、数据来源、数据收集方法等。指标体系建立过程如下：</w:t>
      </w:r>
    </w:p>
    <w:p w14:paraId="1F806AA0">
      <w:pPr>
        <w:spacing w:line="560" w:lineRule="exact"/>
        <w:rPr>
          <w:rFonts w:ascii="Times New Roman" w:hAnsi="Times New Roman" w:eastAsia="方正仿宋_GBK" w:cs="Times New Roman"/>
        </w:rPr>
      </w:pPr>
      <w:r>
        <w:rPr>
          <w:rFonts w:ascii="Times New Roman" w:hAnsi="Times New Roman" w:eastAsia="方正仿宋_GBK" w:cs="Times New Roman"/>
        </w:rPr>
        <w:t>（1）确定评价指标</w:t>
      </w:r>
    </w:p>
    <w:p w14:paraId="09D37E6D">
      <w:pPr>
        <w:spacing w:line="560" w:lineRule="exact"/>
        <w:rPr>
          <w:rFonts w:ascii="Times New Roman" w:hAnsi="Times New Roman" w:eastAsia="方正仿宋_GBK" w:cs="Times New Roman"/>
        </w:rPr>
      </w:pPr>
      <w:r>
        <w:rPr>
          <w:rFonts w:ascii="Times New Roman" w:hAnsi="Times New Roman" w:eastAsia="方正仿宋_GBK" w:cs="Times New Roman"/>
        </w:rPr>
        <w:t>采用层次分析法，建立评价指标体系。绩效评价将指标分为项目决策指标、项目过程指标、项目产出指标、项目效益指标四个维度，最终形成一个由多个相互联系的指标组成的多层次指标体系。</w:t>
      </w:r>
    </w:p>
    <w:p w14:paraId="54529FBF">
      <w:pPr>
        <w:spacing w:line="560" w:lineRule="exact"/>
        <w:rPr>
          <w:rFonts w:ascii="Times New Roman" w:hAnsi="Times New Roman" w:eastAsia="方正仿宋_GBK" w:cs="Times New Roman"/>
        </w:rPr>
      </w:pPr>
      <w:r>
        <w:rPr>
          <w:rFonts w:ascii="Times New Roman" w:hAnsi="Times New Roman" w:eastAsia="方正仿宋_GBK" w:cs="Times New Roman"/>
        </w:rPr>
        <w:t>（2）确定权重</w:t>
      </w:r>
    </w:p>
    <w:p w14:paraId="28E22721">
      <w:pPr>
        <w:spacing w:line="560" w:lineRule="exact"/>
        <w:rPr>
          <w:rFonts w:ascii="Times New Roman" w:hAnsi="Times New Roman" w:eastAsia="方正仿宋_GBK" w:cs="Times New Roman"/>
        </w:rPr>
      </w:pPr>
      <w:r>
        <w:rPr>
          <w:rFonts w:ascii="Times New Roman" w:hAnsi="Times New Roman" w:eastAsia="方正仿宋_GBK" w:cs="Times New Roman"/>
        </w:rPr>
        <w:t>确定各个指标相对于项目总体绩效的权重分值。在绩效评价指标体系中，项目决策权重为20分，项目过程权重为20分，项目产出权重为40分，项目效益权重为20分。</w:t>
      </w:r>
    </w:p>
    <w:p w14:paraId="50538CFC">
      <w:pPr>
        <w:spacing w:line="560" w:lineRule="exact"/>
        <w:rPr>
          <w:rFonts w:ascii="Times New Roman" w:hAnsi="Times New Roman" w:eastAsia="方正仿宋_GBK" w:cs="Times New Roman"/>
        </w:rPr>
      </w:pPr>
      <w:r>
        <w:rPr>
          <w:rFonts w:ascii="Times New Roman" w:hAnsi="Times New Roman" w:eastAsia="方正仿宋_GBK" w:cs="Times New Roman"/>
        </w:rPr>
        <w:t>（3）确定指标标准值</w:t>
      </w:r>
    </w:p>
    <w:p w14:paraId="62FC0A4B">
      <w:pPr>
        <w:spacing w:line="560" w:lineRule="exact"/>
        <w:rPr>
          <w:rFonts w:ascii="Times New Roman" w:hAnsi="Times New Roman" w:eastAsia="方正仿宋_GBK" w:cs="Times New Roman"/>
        </w:rPr>
      </w:pPr>
      <w:r>
        <w:rPr>
          <w:rFonts w:ascii="Times New Roman" w:hAnsi="Times New Roman" w:eastAsia="方正仿宋_GBK" w:cs="Times New Roman"/>
        </w:rPr>
        <w:t>指标标准值是绩效评价指标的尺度，既要反映同类项目的先进水平，又要符合项目的实际绩效水平。具体采用计划标准等确定此次绩效评价指标标准值。</w:t>
      </w:r>
    </w:p>
    <w:p w14:paraId="75A7D1C6">
      <w:pPr>
        <w:spacing w:line="560" w:lineRule="exact"/>
        <w:rPr>
          <w:rFonts w:ascii="Times New Roman" w:hAnsi="Times New Roman" w:eastAsia="方正仿宋_GBK" w:cs="Times New Roman"/>
        </w:rPr>
      </w:pPr>
      <w:r>
        <w:rPr>
          <w:rFonts w:ascii="Times New Roman" w:hAnsi="Times New Roman" w:eastAsia="方正仿宋_GBK" w:cs="Times New Roma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920D913">
      <w:pPr>
        <w:spacing w:line="560" w:lineRule="exact"/>
        <w:rPr>
          <w:rFonts w:ascii="Times New Roman" w:hAnsi="Times New Roman" w:eastAsia="方正仿宋_GBK" w:cs="Times New Roman"/>
        </w:rPr>
      </w:pPr>
      <w:r>
        <w:rPr>
          <w:rFonts w:ascii="Times New Roman" w:hAnsi="Times New Roman" w:eastAsia="方正仿宋_GBK" w:cs="Times New Roman"/>
        </w:rPr>
        <w:t>具体评价指标体系详情见附件2。</w:t>
      </w:r>
    </w:p>
    <w:p w14:paraId="753BF1F6">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3.绩效评价方法</w:t>
      </w:r>
    </w:p>
    <w:p w14:paraId="55A7DE70">
      <w:pPr>
        <w:spacing w:line="560" w:lineRule="exact"/>
        <w:rPr>
          <w:rFonts w:ascii="Times New Roman" w:hAnsi="Times New Roman" w:eastAsia="方正仿宋_GBK" w:cs="Times New Roman"/>
        </w:rPr>
      </w:pPr>
      <w:r>
        <w:rPr>
          <w:rFonts w:ascii="Times New Roman" w:hAnsi="Times New Roman" w:eastAsia="方正仿宋_GBK" w:cs="Times New Roman"/>
        </w:rPr>
        <w:t>绩效评价从项目决策、项目过程、项目产出、项目效益四个维度进行评价。评价对象为项目目标实施情况，  评价核心为资金的支出完成情况和项目的产出效益。</w:t>
      </w:r>
    </w:p>
    <w:p w14:paraId="7D4BA910">
      <w:pPr>
        <w:spacing w:line="560" w:lineRule="exact"/>
        <w:rPr>
          <w:rFonts w:ascii="Times New Roman" w:hAnsi="Times New Roman" w:eastAsia="方正仿宋_GBK" w:cs="Times New Roman"/>
        </w:rPr>
      </w:pPr>
      <w:r>
        <w:rPr>
          <w:rFonts w:ascii="Times New Roman" w:hAnsi="Times New Roman" w:eastAsia="方正仿宋_GBK" w:cs="Times New Roman"/>
        </w:rPr>
        <w:t xml:space="preserve">本次评价指标中，既有定性指标又有定量指标，各类指标因考核内容不同和客观标准不同存在较大差异，因此核定具体指标时采用了不同方法，具体评价方法如下： </w:t>
      </w:r>
    </w:p>
    <w:p w14:paraId="5E423028">
      <w:pPr>
        <w:spacing w:line="560" w:lineRule="exact"/>
        <w:rPr>
          <w:rFonts w:ascii="Times New Roman" w:hAnsi="Times New Roman" w:eastAsia="方正仿宋_GBK" w:cs="Times New Roman"/>
        </w:rPr>
      </w:pPr>
      <w:r>
        <w:rPr>
          <w:rFonts w:ascii="Times New Roman" w:hAnsi="Times New Roman" w:eastAsia="方正仿宋_GBK" w:cs="Times New Roman"/>
        </w:rPr>
        <w:t>（1）比较法</w:t>
      </w:r>
    </w:p>
    <w:p w14:paraId="08221440">
      <w:pPr>
        <w:spacing w:line="560" w:lineRule="exact"/>
        <w:rPr>
          <w:rFonts w:ascii="Times New Roman" w:hAnsi="Times New Roman" w:eastAsia="方正仿宋_GBK" w:cs="Times New Roman"/>
        </w:rPr>
      </w:pPr>
      <w:r>
        <w:rPr>
          <w:rFonts w:ascii="Times New Roman" w:hAnsi="Times New Roman" w:eastAsia="方正仿宋_GBK" w:cs="Times New Roman"/>
        </w:rPr>
        <w:t>通过对绩效目标与实施效果、历史与当期情况，综合分析绩效目标实现程度。对项目最终验收情况与年度绩效目标对比、预算资金执行情况等相关因素进行比较。</w:t>
      </w:r>
    </w:p>
    <w:p w14:paraId="50D26C7F">
      <w:pPr>
        <w:spacing w:line="560" w:lineRule="exact"/>
        <w:rPr>
          <w:rFonts w:ascii="Times New Roman" w:hAnsi="Times New Roman" w:eastAsia="方正仿宋_GBK" w:cs="Times New Roman"/>
        </w:rPr>
      </w:pPr>
      <w:r>
        <w:rPr>
          <w:rFonts w:ascii="Times New Roman" w:hAnsi="Times New Roman" w:eastAsia="方正仿宋_GBK" w:cs="Times New Roman"/>
        </w:rPr>
        <w:t>（2）因素分析法</w:t>
      </w:r>
    </w:p>
    <w:p w14:paraId="1072A9D0">
      <w:pPr>
        <w:spacing w:line="560" w:lineRule="exact"/>
        <w:rPr>
          <w:rFonts w:ascii="Times New Roman" w:hAnsi="Times New Roman" w:eastAsia="方正仿宋_GBK" w:cs="Times New Roman"/>
        </w:rPr>
      </w:pPr>
      <w:r>
        <w:rPr>
          <w:rFonts w:ascii="Times New Roman" w:hAnsi="Times New Roman" w:eastAsia="方正仿宋_GBK" w:cs="Times New Roma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4631A1ED">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4.评价标准</w:t>
      </w:r>
    </w:p>
    <w:p w14:paraId="6796DA8E">
      <w:pPr>
        <w:spacing w:line="560" w:lineRule="exact"/>
        <w:rPr>
          <w:rFonts w:ascii="Times New Roman" w:hAnsi="Times New Roman" w:eastAsia="方正仿宋_GBK" w:cs="Times New Roman"/>
        </w:rPr>
      </w:pPr>
      <w:r>
        <w:rPr>
          <w:rFonts w:ascii="Times New Roman" w:hAnsi="Times New Roman" w:eastAsia="方正仿宋_GBK" w:cs="Times New Roman"/>
        </w:rPr>
        <w:t>绩效评价标准通常包括计划标准、行业标准、历史标准等，用于对绩效指标完成情况进行比较、分析、评价。本次评价主要采用了计划标准、历史标准。</w:t>
      </w:r>
    </w:p>
    <w:p w14:paraId="7BC6DD1B">
      <w:pPr>
        <w:spacing w:line="560" w:lineRule="exact"/>
        <w:rPr>
          <w:rFonts w:ascii="Times New Roman" w:hAnsi="Times New Roman" w:eastAsia="方正仿宋_GBK" w:cs="Times New Roman"/>
        </w:rPr>
      </w:pPr>
      <w:bookmarkStart w:id="0" w:name="_Toc17882"/>
      <w:bookmarkStart w:id="1" w:name="_Toc31464"/>
      <w:r>
        <w:rPr>
          <w:rFonts w:ascii="Times New Roman" w:hAnsi="Times New Roman" w:eastAsia="方正仿宋_GBK" w:cs="Times New Roman"/>
        </w:rPr>
        <w:t>计划标准：指以预先制定的目标、计划、预算、定额等作为评价标准。</w:t>
      </w:r>
      <w:bookmarkEnd w:id="0"/>
      <w:bookmarkEnd w:id="1"/>
    </w:p>
    <w:p w14:paraId="6B141B2D">
      <w:pPr>
        <w:spacing w:line="560" w:lineRule="exact"/>
        <w:rPr>
          <w:rFonts w:ascii="Times New Roman" w:hAnsi="Times New Roman" w:eastAsia="方正仿宋_GBK" w:cs="Times New Roman"/>
        </w:rPr>
      </w:pPr>
      <w:bookmarkStart w:id="2" w:name="_Toc2318"/>
      <w:bookmarkStart w:id="3" w:name="_Toc5633"/>
      <w:r>
        <w:rPr>
          <w:rFonts w:ascii="Times New Roman" w:hAnsi="Times New Roman" w:eastAsia="方正仿宋_GBK" w:cs="Times New Roman"/>
        </w:rPr>
        <w:t>行业标准：指参照国家公布的行业指标数据制定的评价标准。</w:t>
      </w:r>
      <w:bookmarkEnd w:id="2"/>
      <w:bookmarkEnd w:id="3"/>
    </w:p>
    <w:p w14:paraId="3D9BCE43">
      <w:pPr>
        <w:spacing w:line="560" w:lineRule="exact"/>
        <w:rPr>
          <w:rFonts w:ascii="Times New Roman" w:hAnsi="Times New Roman" w:eastAsia="方正仿宋_GBK" w:cs="Times New Roman"/>
        </w:rPr>
      </w:pPr>
      <w:bookmarkStart w:id="4" w:name="_Toc430"/>
      <w:bookmarkStart w:id="5" w:name="_Toc16028"/>
      <w:r>
        <w:rPr>
          <w:rFonts w:ascii="Times New Roman" w:hAnsi="Times New Roman" w:eastAsia="方正仿宋_GBK" w:cs="Times New Roman"/>
        </w:rPr>
        <w:t>历史标准：指参照历史数据制定的评价标准，为体现绩效改进的原则，在可实现的条件下应当确定相对较高的评价标准。</w:t>
      </w:r>
      <w:bookmarkEnd w:id="4"/>
      <w:bookmarkEnd w:id="5"/>
    </w:p>
    <w:p w14:paraId="54361C7C">
      <w:pPr>
        <w:spacing w:line="560" w:lineRule="exact"/>
        <w:rPr>
          <w:rFonts w:ascii="Times New Roman" w:hAnsi="Times New Roman" w:eastAsia="方正仿宋_GBK" w:cs="Times New Roman"/>
        </w:rPr>
      </w:pPr>
      <w:r>
        <w:rPr>
          <w:rFonts w:ascii="Times New Roman" w:hAnsi="Times New Roman" w:eastAsia="方正仿宋_GBK" w:cs="Times New Roman"/>
        </w:rPr>
        <w:t>绩效评价工作过程</w:t>
      </w:r>
      <w:r>
        <w:rPr>
          <w:rFonts w:hint="eastAsia" w:ascii="Times New Roman" w:hAnsi="Times New Roman" w:eastAsia="方正仿宋_GBK" w:cs="Times New Roman"/>
        </w:rPr>
        <w:t>：</w:t>
      </w:r>
    </w:p>
    <w:p w14:paraId="15054039">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①</w:t>
      </w:r>
      <w:r>
        <w:rPr>
          <w:rFonts w:ascii="Times New Roman" w:hAnsi="Times New Roman" w:eastAsia="方正仿宋_GBK" w:cs="Times New Roman"/>
        </w:rPr>
        <w:t>前期准备。首先成立评价工作组，开展前期调研；其次明确项目绩效目标，设计绩效评价指标体系并确定绩效评价方法；接着确定现场和非现场评价范围，设计资料清单；最后制定评价实施方案并进行论证。</w:t>
      </w:r>
    </w:p>
    <w:p w14:paraId="5A667D33">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②</w:t>
      </w:r>
      <w:r>
        <w:rPr>
          <w:rFonts w:ascii="Times New Roman" w:hAnsi="Times New Roman" w:eastAsia="方正仿宋_GBK" w:cs="Times New Roman"/>
        </w:rPr>
        <w:t>组织实施。制定绩效评价工作方案，具体包括项目概况、评价思路、方法手段、组织实施、进度安排等。收集项目立项依据、相关会议纪要、实施方案、财政资金分配方案、支付管理情况等相关评价资料并进行梳理。</w:t>
      </w:r>
    </w:p>
    <w:p w14:paraId="64E3864A">
      <w:pPr>
        <w:spacing w:line="560" w:lineRule="exact"/>
        <w:rPr>
          <w:rFonts w:ascii="Times New Roman" w:hAnsi="Times New Roman" w:eastAsia="方正仿宋_GBK" w:cs="Times New Roman"/>
        </w:rPr>
      </w:pPr>
      <w:r>
        <w:rPr>
          <w:rFonts w:hint="eastAsia" w:ascii="方正仿宋_GBK" w:hAnsi="方正仿宋_GBK" w:eastAsia="方正仿宋_GBK" w:cs="方正仿宋_GBK"/>
        </w:rPr>
        <w:t>③</w:t>
      </w:r>
      <w:r>
        <w:rPr>
          <w:rFonts w:ascii="Times New Roman" w:hAnsi="Times New Roman" w:eastAsia="方正仿宋_GBK" w:cs="Times New Roman"/>
        </w:rPr>
        <w:t>分析评价。根据收集梳理的资料围绕项目立项、资金落实、业务管理、财务管理、项目产出、项目效益等内容，对照已确定的绩效评价指标进行详细全面的分析评价，逐项打分并形成绩效评价最终结果。</w:t>
      </w:r>
    </w:p>
    <w:p w14:paraId="4672F680">
      <w:pPr>
        <w:spacing w:line="560" w:lineRule="exact"/>
        <w:rPr>
          <w:rFonts w:ascii="Times New Roman" w:hAnsi="Times New Roman" w:eastAsia="方正仿宋_GBK" w:cs="Times New Roman"/>
        </w:rPr>
      </w:pPr>
      <w:r>
        <w:rPr>
          <w:rFonts w:ascii="Times New Roman" w:hAnsi="Times New Roman" w:eastAsia="方正仿宋_GBK" w:cs="Times New Roman"/>
        </w:rPr>
        <w:t>综合评价情况及评价结论（附相关评分表）</w:t>
      </w:r>
    </w:p>
    <w:p w14:paraId="15700A8E">
      <w:pPr>
        <w:spacing w:line="560" w:lineRule="exact"/>
        <w:rPr>
          <w:rFonts w:ascii="Times New Roman" w:hAnsi="Times New Roman" w:eastAsia="方正仿宋_GBK" w:cs="Times New Roman"/>
        </w:rPr>
      </w:pPr>
      <w:r>
        <w:rPr>
          <w:rFonts w:ascii="Times New Roman" w:hAnsi="Times New Roman" w:eastAsia="方正仿宋_GBK" w:cs="Times New Roman"/>
        </w:rPr>
        <w:t>（一）评价情况</w:t>
      </w:r>
    </w:p>
    <w:p w14:paraId="6D09FE01">
      <w:pPr>
        <w:spacing w:line="560" w:lineRule="exact"/>
        <w:rPr>
          <w:rFonts w:ascii="Times New Roman" w:hAnsi="Times New Roman" w:eastAsia="方正仿宋_GBK" w:cs="Times New Roman"/>
        </w:rPr>
      </w:pPr>
      <w:r>
        <w:rPr>
          <w:rFonts w:ascii="Times New Roman" w:hAnsi="Times New Roman" w:eastAsia="方正仿宋_GBK" w:cs="Times New Roma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86569B">
      <w:pPr>
        <w:spacing w:line="560" w:lineRule="exact"/>
        <w:rPr>
          <w:rFonts w:ascii="Times New Roman" w:hAnsi="Times New Roman" w:eastAsia="方正仿宋_GBK" w:cs="Times New Roman"/>
        </w:rPr>
      </w:pPr>
      <w:r>
        <w:rPr>
          <w:rFonts w:ascii="Times New Roman" w:hAnsi="Times New Roman" w:eastAsia="方正仿宋_GBK" w:cs="Times New Roman"/>
        </w:rPr>
        <w:t>（二）评价结论</w:t>
      </w:r>
    </w:p>
    <w:p w14:paraId="7AB5B215">
      <w:pPr>
        <w:spacing w:line="560" w:lineRule="exact"/>
        <w:rPr>
          <w:rFonts w:ascii="Times New Roman" w:hAnsi="Times New Roman" w:cs="Times New Roman"/>
        </w:rPr>
      </w:pPr>
      <w:r>
        <w:rPr>
          <w:rFonts w:ascii="Times New Roman" w:hAnsi="Times New Roman" w:eastAsia="方正仿宋_GBK" w:cs="Times New Roma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 100%。项目产出类指标权重为40分，得分为40分，得分率为 100%。项目效益类指标权重为20分，得分为20分，得分率为100%。</w:t>
      </w:r>
      <w:r>
        <w:rPr>
          <w:rFonts w:ascii="Times New Roman" w:hAnsi="Times New Roman" w:cs="Times New Roman"/>
        </w:rPr>
        <w:t>具体打分情况详见：表1.综合评分表。</w:t>
      </w:r>
    </w:p>
    <w:p w14:paraId="0F63CE62">
      <w:pPr>
        <w:pStyle w:val="2"/>
        <w:ind w:firstLine="643"/>
        <w:rPr>
          <w:rFonts w:ascii="Times New Roman" w:hAnsi="Times New Roman" w:cs="Times New Roman"/>
        </w:rPr>
      </w:pPr>
      <w:r>
        <w:rPr>
          <w:rFonts w:ascii="Times New Roman" w:hAnsi="Times New Roman" w:cs="Times New Roman"/>
        </w:rPr>
        <w:t>表1.综合评分表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34ACA4C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FBFBF"/>
            <w:vAlign w:val="center"/>
          </w:tcPr>
          <w:p w14:paraId="6C9EC327">
            <w:pPr>
              <w:rPr>
                <w:rFonts w:ascii="Times New Roman" w:hAnsi="Times New Roman" w:cs="Times New Roman"/>
              </w:rPr>
            </w:pPr>
            <w:r>
              <w:rPr>
                <w:rFonts w:ascii="Times New Roman" w:hAnsi="Times New Roman" w:cs="Times New Roman"/>
              </w:rPr>
              <w:t>一级指标</w:t>
            </w:r>
          </w:p>
        </w:tc>
        <w:tc>
          <w:tcPr>
            <w:tcW w:w="2168" w:type="dxa"/>
            <w:tcBorders>
              <w:top w:val="single" w:color="auto" w:sz="4" w:space="0"/>
              <w:left w:val="nil"/>
              <w:bottom w:val="single" w:color="auto" w:sz="4" w:space="0"/>
              <w:right w:val="single" w:color="auto" w:sz="4" w:space="0"/>
            </w:tcBorders>
            <w:shd w:val="clear" w:color="000000" w:fill="BFBFBF"/>
            <w:vAlign w:val="center"/>
          </w:tcPr>
          <w:p w14:paraId="760486EF">
            <w:pPr>
              <w:rPr>
                <w:rFonts w:ascii="Times New Roman" w:hAnsi="Times New Roman" w:cs="Times New Roman"/>
              </w:rPr>
            </w:pPr>
            <w:r>
              <w:rPr>
                <w:rFonts w:ascii="Times New Roman" w:hAnsi="Times New Roman" w:cs="Times New Roman"/>
              </w:rPr>
              <w:t>权重分</w:t>
            </w:r>
          </w:p>
        </w:tc>
        <w:tc>
          <w:tcPr>
            <w:tcW w:w="2278" w:type="dxa"/>
            <w:tcBorders>
              <w:top w:val="single" w:color="auto" w:sz="4" w:space="0"/>
              <w:left w:val="nil"/>
              <w:bottom w:val="single" w:color="auto" w:sz="4" w:space="0"/>
              <w:right w:val="single" w:color="auto" w:sz="4" w:space="0"/>
            </w:tcBorders>
            <w:shd w:val="clear" w:color="000000" w:fill="BFBFBF"/>
            <w:vAlign w:val="center"/>
          </w:tcPr>
          <w:p w14:paraId="2FBE58DD">
            <w:pPr>
              <w:rPr>
                <w:rFonts w:ascii="Times New Roman" w:hAnsi="Times New Roman" w:cs="Times New Roman"/>
              </w:rPr>
            </w:pPr>
            <w:r>
              <w:rPr>
                <w:rFonts w:ascii="Times New Roman" w:hAnsi="Times New Roman" w:cs="Times New Roman"/>
              </w:rPr>
              <w:t>得分</w:t>
            </w:r>
          </w:p>
        </w:tc>
      </w:tr>
      <w:tr w14:paraId="44764B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A99445">
            <w:pPr>
              <w:rPr>
                <w:rFonts w:ascii="Times New Roman" w:hAnsi="Times New Roman" w:cs="Times New Roman"/>
              </w:rPr>
            </w:pPr>
            <w:r>
              <w:rPr>
                <w:rFonts w:ascii="Times New Roman" w:hAnsi="Times New Roman" w:cs="Times New Roman"/>
              </w:rPr>
              <w:t>项目决策</w:t>
            </w:r>
          </w:p>
        </w:tc>
        <w:tc>
          <w:tcPr>
            <w:tcW w:w="2168" w:type="dxa"/>
            <w:tcBorders>
              <w:top w:val="nil"/>
              <w:left w:val="nil"/>
              <w:bottom w:val="single" w:color="auto" w:sz="4" w:space="0"/>
              <w:right w:val="single" w:color="auto" w:sz="4" w:space="0"/>
            </w:tcBorders>
            <w:shd w:val="clear" w:color="auto" w:fill="auto"/>
            <w:vAlign w:val="center"/>
          </w:tcPr>
          <w:p w14:paraId="61DEC81A">
            <w:pPr>
              <w:rPr>
                <w:rFonts w:ascii="Times New Roman" w:hAnsi="Times New Roman" w:cs="Times New Roman"/>
              </w:rPr>
            </w:pPr>
            <w:r>
              <w:rPr>
                <w:rFonts w:ascii="Times New Roman" w:hAnsi="Times New Roman" w:cs="Times New Roman"/>
              </w:rPr>
              <w:t>20</w:t>
            </w:r>
          </w:p>
        </w:tc>
        <w:tc>
          <w:tcPr>
            <w:tcW w:w="2278" w:type="dxa"/>
            <w:tcBorders>
              <w:top w:val="nil"/>
              <w:left w:val="nil"/>
              <w:bottom w:val="single" w:color="auto" w:sz="4" w:space="0"/>
              <w:right w:val="single" w:color="auto" w:sz="4" w:space="0"/>
            </w:tcBorders>
            <w:shd w:val="clear" w:color="auto" w:fill="auto"/>
            <w:vAlign w:val="center"/>
          </w:tcPr>
          <w:p w14:paraId="0BF3B7C2">
            <w:pPr>
              <w:rPr>
                <w:rFonts w:ascii="Times New Roman" w:hAnsi="Times New Roman" w:cs="Times New Roman"/>
              </w:rPr>
            </w:pPr>
            <w:r>
              <w:rPr>
                <w:rFonts w:ascii="Times New Roman" w:hAnsi="Times New Roman" w:cs="Times New Roman"/>
              </w:rPr>
              <w:t>20</w:t>
            </w:r>
          </w:p>
        </w:tc>
      </w:tr>
      <w:tr w14:paraId="72BC9A2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25A570">
            <w:pPr>
              <w:rPr>
                <w:rFonts w:ascii="Times New Roman" w:hAnsi="Times New Roman" w:cs="Times New Roman"/>
              </w:rPr>
            </w:pPr>
            <w:r>
              <w:rPr>
                <w:rFonts w:ascii="Times New Roman" w:hAnsi="Times New Roman" w:cs="Times New Roman"/>
              </w:rPr>
              <w:t>项目过程</w:t>
            </w:r>
          </w:p>
        </w:tc>
        <w:tc>
          <w:tcPr>
            <w:tcW w:w="2168" w:type="dxa"/>
            <w:tcBorders>
              <w:top w:val="nil"/>
              <w:left w:val="nil"/>
              <w:bottom w:val="single" w:color="auto" w:sz="4" w:space="0"/>
              <w:right w:val="single" w:color="auto" w:sz="4" w:space="0"/>
            </w:tcBorders>
            <w:shd w:val="clear" w:color="auto" w:fill="auto"/>
            <w:vAlign w:val="center"/>
          </w:tcPr>
          <w:p w14:paraId="7DB6720A">
            <w:pPr>
              <w:rPr>
                <w:rFonts w:ascii="Times New Roman" w:hAnsi="Times New Roman" w:cs="Times New Roman"/>
              </w:rPr>
            </w:pPr>
            <w:r>
              <w:rPr>
                <w:rFonts w:ascii="Times New Roman" w:hAnsi="Times New Roman" w:cs="Times New Roman"/>
              </w:rPr>
              <w:t>20</w:t>
            </w:r>
          </w:p>
        </w:tc>
        <w:tc>
          <w:tcPr>
            <w:tcW w:w="2278" w:type="dxa"/>
            <w:tcBorders>
              <w:top w:val="nil"/>
              <w:left w:val="nil"/>
              <w:bottom w:val="single" w:color="auto" w:sz="4" w:space="0"/>
              <w:right w:val="single" w:color="auto" w:sz="4" w:space="0"/>
            </w:tcBorders>
            <w:shd w:val="clear" w:color="auto" w:fill="auto"/>
            <w:vAlign w:val="center"/>
          </w:tcPr>
          <w:p w14:paraId="26076FD9">
            <w:pPr>
              <w:rPr>
                <w:rFonts w:ascii="Times New Roman" w:hAnsi="Times New Roman" w:cs="Times New Roman"/>
              </w:rPr>
            </w:pPr>
            <w:r>
              <w:rPr>
                <w:rFonts w:ascii="Times New Roman" w:hAnsi="Times New Roman" w:cs="Times New Roman"/>
              </w:rPr>
              <w:t>20</w:t>
            </w:r>
          </w:p>
        </w:tc>
      </w:tr>
      <w:tr w14:paraId="0A6B60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F5D046">
            <w:pPr>
              <w:rPr>
                <w:rFonts w:ascii="Times New Roman" w:hAnsi="Times New Roman" w:cs="Times New Roman"/>
              </w:rPr>
            </w:pPr>
            <w:r>
              <w:rPr>
                <w:rFonts w:ascii="Times New Roman" w:hAnsi="Times New Roman" w:cs="Times New Roman"/>
              </w:rPr>
              <w:t>项目产出</w:t>
            </w:r>
          </w:p>
        </w:tc>
        <w:tc>
          <w:tcPr>
            <w:tcW w:w="2168" w:type="dxa"/>
            <w:tcBorders>
              <w:top w:val="nil"/>
              <w:left w:val="nil"/>
              <w:bottom w:val="single" w:color="auto" w:sz="4" w:space="0"/>
              <w:right w:val="single" w:color="auto" w:sz="4" w:space="0"/>
            </w:tcBorders>
            <w:shd w:val="clear" w:color="auto" w:fill="auto"/>
            <w:vAlign w:val="center"/>
          </w:tcPr>
          <w:p w14:paraId="6C9A03C9">
            <w:pPr>
              <w:rPr>
                <w:rFonts w:ascii="Times New Roman" w:hAnsi="Times New Roman" w:cs="Times New Roman"/>
              </w:rPr>
            </w:pPr>
            <w:r>
              <w:rPr>
                <w:rFonts w:ascii="Times New Roman" w:hAnsi="Times New Roman" w:cs="Times New Roman"/>
              </w:rPr>
              <w:t>40</w:t>
            </w:r>
          </w:p>
        </w:tc>
        <w:tc>
          <w:tcPr>
            <w:tcW w:w="2278" w:type="dxa"/>
            <w:tcBorders>
              <w:top w:val="nil"/>
              <w:left w:val="nil"/>
              <w:bottom w:val="single" w:color="auto" w:sz="4" w:space="0"/>
              <w:right w:val="single" w:color="auto" w:sz="4" w:space="0"/>
            </w:tcBorders>
            <w:shd w:val="clear" w:color="auto" w:fill="auto"/>
            <w:vAlign w:val="center"/>
          </w:tcPr>
          <w:p w14:paraId="192D3D01">
            <w:pPr>
              <w:rPr>
                <w:rFonts w:ascii="Times New Roman" w:hAnsi="Times New Roman" w:cs="Times New Roman"/>
              </w:rPr>
            </w:pPr>
            <w:r>
              <w:rPr>
                <w:rFonts w:ascii="Times New Roman" w:hAnsi="Times New Roman" w:cs="Times New Roman"/>
              </w:rPr>
              <w:t>40</w:t>
            </w:r>
          </w:p>
        </w:tc>
      </w:tr>
      <w:tr w14:paraId="0836B0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32E248">
            <w:pPr>
              <w:rPr>
                <w:rFonts w:ascii="Times New Roman" w:hAnsi="Times New Roman" w:cs="Times New Roman"/>
              </w:rPr>
            </w:pPr>
            <w:r>
              <w:rPr>
                <w:rFonts w:ascii="Times New Roman" w:hAnsi="Times New Roman" w:cs="Times New Roman"/>
              </w:rPr>
              <w:t>项目效益</w:t>
            </w:r>
          </w:p>
        </w:tc>
        <w:tc>
          <w:tcPr>
            <w:tcW w:w="2168" w:type="dxa"/>
            <w:tcBorders>
              <w:top w:val="nil"/>
              <w:left w:val="nil"/>
              <w:bottom w:val="single" w:color="auto" w:sz="4" w:space="0"/>
              <w:right w:val="single" w:color="auto" w:sz="4" w:space="0"/>
            </w:tcBorders>
            <w:shd w:val="clear" w:color="auto" w:fill="auto"/>
            <w:vAlign w:val="center"/>
          </w:tcPr>
          <w:p w14:paraId="1201EE19">
            <w:pPr>
              <w:rPr>
                <w:rFonts w:ascii="Times New Roman" w:hAnsi="Times New Roman" w:cs="Times New Roman"/>
              </w:rPr>
            </w:pPr>
            <w:r>
              <w:rPr>
                <w:rFonts w:ascii="Times New Roman" w:hAnsi="Times New Roman" w:cs="Times New Roman"/>
              </w:rPr>
              <w:t>20</w:t>
            </w:r>
          </w:p>
        </w:tc>
        <w:tc>
          <w:tcPr>
            <w:tcW w:w="2278" w:type="dxa"/>
            <w:tcBorders>
              <w:top w:val="nil"/>
              <w:left w:val="nil"/>
              <w:bottom w:val="single" w:color="auto" w:sz="4" w:space="0"/>
              <w:right w:val="single" w:color="auto" w:sz="4" w:space="0"/>
            </w:tcBorders>
            <w:shd w:val="clear" w:color="auto" w:fill="auto"/>
            <w:vAlign w:val="center"/>
          </w:tcPr>
          <w:p w14:paraId="20970126">
            <w:pPr>
              <w:rPr>
                <w:rFonts w:ascii="Times New Roman" w:hAnsi="Times New Roman" w:cs="Times New Roman"/>
              </w:rPr>
            </w:pPr>
            <w:r>
              <w:rPr>
                <w:rFonts w:ascii="Times New Roman" w:hAnsi="Times New Roman" w:cs="Times New Roman"/>
              </w:rPr>
              <w:t>20</w:t>
            </w:r>
          </w:p>
        </w:tc>
      </w:tr>
      <w:tr w14:paraId="7B8F3E2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C7CF38">
            <w:pPr>
              <w:rPr>
                <w:rFonts w:ascii="Times New Roman" w:hAnsi="Times New Roman" w:cs="Times New Roman"/>
              </w:rPr>
            </w:pPr>
            <w:r>
              <w:rPr>
                <w:rFonts w:ascii="Times New Roman" w:hAnsi="Times New Roman" w:cs="Times New Roman"/>
              </w:rPr>
              <w:t>合计</w:t>
            </w:r>
          </w:p>
        </w:tc>
        <w:tc>
          <w:tcPr>
            <w:tcW w:w="2168" w:type="dxa"/>
            <w:tcBorders>
              <w:top w:val="nil"/>
              <w:left w:val="nil"/>
              <w:bottom w:val="single" w:color="auto" w:sz="4" w:space="0"/>
              <w:right w:val="single" w:color="auto" w:sz="4" w:space="0"/>
            </w:tcBorders>
            <w:shd w:val="clear" w:color="auto" w:fill="auto"/>
            <w:vAlign w:val="center"/>
          </w:tcPr>
          <w:p w14:paraId="6807E3A2">
            <w:pPr>
              <w:rPr>
                <w:rFonts w:ascii="Times New Roman" w:hAnsi="Times New Roman" w:cs="Times New Roman"/>
              </w:rPr>
            </w:pPr>
            <w:r>
              <w:rPr>
                <w:rFonts w:ascii="Times New Roman" w:hAnsi="Times New Roman" w:cs="Times New Roman"/>
              </w:rPr>
              <w:t>100</w:t>
            </w:r>
          </w:p>
        </w:tc>
        <w:tc>
          <w:tcPr>
            <w:tcW w:w="2278" w:type="dxa"/>
            <w:tcBorders>
              <w:top w:val="nil"/>
              <w:left w:val="nil"/>
              <w:bottom w:val="single" w:color="auto" w:sz="4" w:space="0"/>
              <w:right w:val="single" w:color="auto" w:sz="4" w:space="0"/>
            </w:tcBorders>
            <w:shd w:val="clear" w:color="auto" w:fill="auto"/>
            <w:vAlign w:val="center"/>
          </w:tcPr>
          <w:p w14:paraId="5CA4D1EA">
            <w:pPr>
              <w:rPr>
                <w:rFonts w:ascii="Times New Roman" w:hAnsi="Times New Roman" w:cs="Times New Roman"/>
              </w:rPr>
            </w:pPr>
            <w:r>
              <w:rPr>
                <w:rFonts w:ascii="Times New Roman" w:hAnsi="Times New Roman" w:cs="Times New Roman"/>
              </w:rPr>
              <w:t>100</w:t>
            </w:r>
          </w:p>
        </w:tc>
      </w:tr>
    </w:tbl>
    <w:p w14:paraId="69832FE4">
      <w:pPr>
        <w:spacing w:line="560" w:lineRule="exact"/>
        <w:rPr>
          <w:rFonts w:ascii="Times New Roman" w:hAnsi="Times New Roman" w:cs="Times New Roman"/>
          <w:b/>
          <w:bCs/>
        </w:rPr>
      </w:pPr>
      <w:r>
        <w:rPr>
          <w:rFonts w:hint="eastAsia" w:ascii="方正黑体_GBK" w:hAnsi="方正黑体_GBK" w:eastAsia="方正黑体_GBK" w:cs="方正黑体_GBK"/>
        </w:rPr>
        <w:t>四、绩效评价指标分析</w:t>
      </w:r>
    </w:p>
    <w:p w14:paraId="33168DB6">
      <w:pPr>
        <w:pStyle w:val="2"/>
        <w:spacing w:before="0" w:after="0" w:line="560" w:lineRule="exact"/>
        <w:jc w:val="both"/>
        <w:rPr>
          <w:rFonts w:ascii="方正楷体_GBK" w:hAnsi="方正楷体_GBK" w:eastAsia="方正楷体_GBK" w:cs="方正楷体_GBK"/>
          <w:b w:val="0"/>
          <w:bCs w:val="0"/>
        </w:rPr>
      </w:pPr>
      <w:r>
        <w:rPr>
          <w:rFonts w:hint="eastAsia" w:ascii="方正楷体_GBK" w:hAnsi="方正楷体_GBK" w:eastAsia="方正楷体_GBK" w:cs="方正楷体_GBK"/>
          <w:b w:val="0"/>
          <w:bCs w:val="0"/>
        </w:rPr>
        <w:t>（一）项目决策情况</w:t>
      </w:r>
    </w:p>
    <w:p w14:paraId="6C6BBA8C">
      <w:pPr>
        <w:spacing w:line="560" w:lineRule="exact"/>
        <w:rPr>
          <w:rFonts w:ascii="Times New Roman" w:hAnsi="Times New Roman" w:eastAsia="方正仿宋_GBK" w:cs="Times New Roman"/>
        </w:rPr>
      </w:pPr>
      <w:r>
        <w:rPr>
          <w:rFonts w:ascii="Times New Roman" w:hAnsi="Times New Roman" w:eastAsia="方正仿宋_GBK" w:cs="Times New Roman"/>
        </w:rPr>
        <w:t>项目决策类指标包括项目立项、绩效目标和资金投入三方面的内容，由6个三级指标构成，权重分值为20分，实际得分20分，得分率为100%。</w:t>
      </w:r>
    </w:p>
    <w:p w14:paraId="0F3A890E">
      <w:pPr>
        <w:spacing w:line="560" w:lineRule="exact"/>
        <w:ind w:firstLine="641"/>
        <w:rPr>
          <w:rFonts w:ascii="Times New Roman" w:hAnsi="Times New Roman" w:eastAsia="方正仿宋_GBK" w:cs="Times New Roman"/>
        </w:rPr>
      </w:pPr>
      <w:r>
        <w:rPr>
          <w:rFonts w:ascii="Times New Roman" w:hAnsi="Times New Roman" w:eastAsia="方正仿宋_GBK" w:cs="Times New Roman"/>
          <w:b/>
          <w:bCs/>
        </w:rPr>
        <w:t>1.项目立项</w:t>
      </w:r>
    </w:p>
    <w:p w14:paraId="6C551A43">
      <w:pPr>
        <w:spacing w:line="560" w:lineRule="exact"/>
        <w:rPr>
          <w:rFonts w:ascii="Times New Roman" w:hAnsi="Times New Roman" w:eastAsia="方正仿宋_GBK" w:cs="Times New Roman"/>
        </w:rPr>
      </w:pPr>
      <w:r>
        <w:rPr>
          <w:rFonts w:ascii="Times New Roman" w:hAnsi="Times New Roman" w:eastAsia="方正仿宋_GBK" w:cs="Times New Roman"/>
        </w:rPr>
        <w:t>（1）立项依据充分性</w:t>
      </w:r>
    </w:p>
    <w:p w14:paraId="3529C654">
      <w:pPr>
        <w:spacing w:line="560" w:lineRule="exact"/>
        <w:rPr>
          <w:rFonts w:ascii="Times New Roman" w:hAnsi="Times New Roman" w:eastAsia="方正仿宋_GBK" w:cs="Times New Roman"/>
        </w:rPr>
      </w:pPr>
      <w:r>
        <w:rPr>
          <w:rFonts w:ascii="Times New Roman" w:hAnsi="Times New Roman" w:eastAsia="方正仿宋_GBK" w:cs="Times New Roma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28EC2BB">
      <w:pPr>
        <w:spacing w:line="560" w:lineRule="exact"/>
        <w:rPr>
          <w:rFonts w:ascii="Times New Roman" w:hAnsi="Times New Roman" w:eastAsia="方正仿宋_GBK" w:cs="Times New Roman"/>
        </w:rPr>
      </w:pPr>
      <w:r>
        <w:rPr>
          <w:rFonts w:ascii="Times New Roman" w:hAnsi="Times New Roman" w:eastAsia="方正仿宋_GBK" w:cs="Times New Roman"/>
        </w:rPr>
        <w:t>（2）立项程序规范性</w:t>
      </w:r>
    </w:p>
    <w:p w14:paraId="0D0B286A">
      <w:pPr>
        <w:spacing w:line="560" w:lineRule="exact"/>
        <w:rPr>
          <w:rFonts w:ascii="Times New Roman" w:hAnsi="Times New Roman" w:eastAsia="方正仿宋_GBK" w:cs="Times New Roman"/>
        </w:rPr>
      </w:pPr>
      <w:r>
        <w:rPr>
          <w:rFonts w:ascii="Times New Roman" w:hAnsi="Times New Roman" w:eastAsia="方正仿宋_GBK" w:cs="Times New Roman"/>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76019384">
      <w:pPr>
        <w:spacing w:line="560" w:lineRule="exact"/>
        <w:ind w:firstLine="641"/>
        <w:rPr>
          <w:rFonts w:ascii="Times New Roman" w:hAnsi="Times New Roman" w:eastAsia="方正仿宋_GBK" w:cs="Times New Roman"/>
          <w:b/>
          <w:bCs/>
        </w:rPr>
      </w:pPr>
      <w:r>
        <w:rPr>
          <w:rFonts w:ascii="Times New Roman" w:hAnsi="Times New Roman" w:eastAsia="方正仿宋_GBK" w:cs="Times New Roman"/>
          <w:b/>
          <w:bCs/>
        </w:rPr>
        <w:t>2.绩效目标</w:t>
      </w:r>
    </w:p>
    <w:p w14:paraId="2C0C98EF">
      <w:pPr>
        <w:spacing w:line="560" w:lineRule="exact"/>
        <w:rPr>
          <w:rFonts w:ascii="Times New Roman" w:hAnsi="Times New Roman" w:eastAsia="方正仿宋_GBK" w:cs="Times New Roman"/>
        </w:rPr>
      </w:pPr>
      <w:r>
        <w:rPr>
          <w:rFonts w:ascii="Times New Roman" w:hAnsi="Times New Roman" w:eastAsia="方正仿宋_GBK" w:cs="Times New Roman"/>
        </w:rPr>
        <w:t>（1）绩效目标合理性</w:t>
      </w:r>
    </w:p>
    <w:p w14:paraId="53781EF4">
      <w:pPr>
        <w:spacing w:line="560" w:lineRule="exact"/>
        <w:rPr>
          <w:rFonts w:ascii="Times New Roman" w:hAnsi="Times New Roman" w:eastAsia="方正仿宋_GBK" w:cs="Times New Roman"/>
        </w:rPr>
      </w:pPr>
      <w:r>
        <w:rPr>
          <w:rFonts w:ascii="Times New Roman" w:hAnsi="Times New Roman" w:eastAsia="方正仿宋_GBK" w:cs="Times New Roman"/>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21F9F2C">
      <w:pPr>
        <w:spacing w:line="560" w:lineRule="exact"/>
        <w:rPr>
          <w:rFonts w:ascii="Times New Roman" w:hAnsi="Times New Roman" w:eastAsia="方正仿宋_GBK" w:cs="Times New Roman"/>
        </w:rPr>
      </w:pPr>
      <w:r>
        <w:rPr>
          <w:rFonts w:ascii="Times New Roman" w:hAnsi="Times New Roman" w:eastAsia="方正仿宋_GBK" w:cs="Times New Roman"/>
        </w:rPr>
        <w:t>（2）绩效指标明确性</w:t>
      </w:r>
    </w:p>
    <w:p w14:paraId="72DE2492">
      <w:pPr>
        <w:spacing w:line="560" w:lineRule="exact"/>
        <w:rPr>
          <w:rFonts w:ascii="Times New Roman" w:hAnsi="Times New Roman" w:eastAsia="方正仿宋_GBK" w:cs="Times New Roman"/>
        </w:rPr>
      </w:pPr>
      <w:r>
        <w:rPr>
          <w:rFonts w:ascii="Times New Roman" w:hAnsi="Times New Roman" w:eastAsia="方正仿宋_GBK" w:cs="Times New Roman"/>
        </w:rPr>
        <w:t>项目设置了明确的预期产出效益和效果，将绩效目标细化分解为具体的绩效指标，绩效目标与项目目标任务数相对应，绩效目标设定的绩效指标清晰、细化、可衡量。</w:t>
      </w:r>
    </w:p>
    <w:p w14:paraId="6665C53B">
      <w:pPr>
        <w:spacing w:line="560" w:lineRule="exact"/>
        <w:ind w:firstLine="641"/>
        <w:rPr>
          <w:rFonts w:ascii="Times New Roman" w:hAnsi="Times New Roman" w:eastAsia="方正仿宋_GBK" w:cs="Times New Roman"/>
          <w:b/>
          <w:bCs/>
        </w:rPr>
      </w:pPr>
      <w:r>
        <w:rPr>
          <w:rFonts w:ascii="Times New Roman" w:hAnsi="Times New Roman" w:eastAsia="方正仿宋_GBK" w:cs="Times New Roman"/>
          <w:b/>
          <w:bCs/>
        </w:rPr>
        <w:t>3.资金投入</w:t>
      </w:r>
    </w:p>
    <w:p w14:paraId="7C410D6F">
      <w:pPr>
        <w:spacing w:line="560" w:lineRule="exact"/>
        <w:rPr>
          <w:rFonts w:ascii="Times New Roman" w:hAnsi="Times New Roman" w:eastAsia="方正仿宋_GBK" w:cs="Times New Roman"/>
        </w:rPr>
      </w:pPr>
      <w:r>
        <w:rPr>
          <w:rFonts w:ascii="Times New Roman" w:hAnsi="Times New Roman" w:eastAsia="方正仿宋_GBK" w:cs="Times New Roman"/>
        </w:rPr>
        <w:t>（1）预算编制科学性</w:t>
      </w:r>
    </w:p>
    <w:p w14:paraId="367D6121">
      <w:pPr>
        <w:spacing w:line="560" w:lineRule="exact"/>
        <w:rPr>
          <w:rFonts w:ascii="Times New Roman" w:hAnsi="Times New Roman" w:eastAsia="方正仿宋_GBK" w:cs="Times New Roman"/>
        </w:rPr>
      </w:pPr>
      <w:r>
        <w:rPr>
          <w:rFonts w:ascii="Times New Roman" w:hAnsi="Times New Roman" w:eastAsia="方正仿宋_GBK" w:cs="Times New Roman"/>
        </w:rPr>
        <w:t>预算编制经过科学论证，提供充分的测算依据佐证资料，预算内容与项目内容相匹配。项目投资额与工作任务相匹配。</w:t>
      </w:r>
    </w:p>
    <w:p w14:paraId="1B774D4A">
      <w:pPr>
        <w:spacing w:line="560" w:lineRule="exact"/>
        <w:rPr>
          <w:rFonts w:ascii="Times New Roman" w:hAnsi="Times New Roman" w:eastAsia="方正仿宋_GBK" w:cs="Times New Roman"/>
        </w:rPr>
      </w:pPr>
      <w:r>
        <w:rPr>
          <w:rFonts w:ascii="Times New Roman" w:hAnsi="Times New Roman" w:eastAsia="方正仿宋_GBK" w:cs="Times New Roman"/>
        </w:rPr>
        <w:t>（2）资金分配合理性</w:t>
      </w:r>
    </w:p>
    <w:p w14:paraId="6687C31D">
      <w:pPr>
        <w:spacing w:line="560" w:lineRule="exact"/>
        <w:rPr>
          <w:rFonts w:ascii="Times New Roman" w:hAnsi="Times New Roman" w:eastAsia="方正仿宋_GBK" w:cs="Times New Roman"/>
        </w:rPr>
      </w:pPr>
      <w:r>
        <w:rPr>
          <w:rFonts w:ascii="Times New Roman" w:hAnsi="Times New Roman" w:eastAsia="方正仿宋_GBK" w:cs="Times New Roman"/>
        </w:rPr>
        <w:t>资金分配额度与项目单位实际工作内容相适应，资金分配额度合理，资金分配依据充分。</w:t>
      </w:r>
    </w:p>
    <w:p w14:paraId="1E116789">
      <w:pPr>
        <w:spacing w:line="560" w:lineRule="exact"/>
        <w:rPr>
          <w:rFonts w:ascii="Times New Roman" w:hAnsi="Times New Roman" w:eastAsia="方正仿宋_GBK" w:cs="Times New Roman"/>
        </w:rPr>
      </w:pPr>
      <w:r>
        <w:rPr>
          <w:rFonts w:ascii="Times New Roman" w:hAnsi="Times New Roman" w:eastAsia="方正仿宋_GBK" w:cs="Times New Roman"/>
        </w:rPr>
        <w:t>项目过程情况:</w:t>
      </w:r>
    </w:p>
    <w:p w14:paraId="77DACE07">
      <w:pPr>
        <w:spacing w:line="560" w:lineRule="exact"/>
        <w:rPr>
          <w:rFonts w:ascii="Times New Roman" w:hAnsi="Times New Roman" w:eastAsia="方正仿宋_GBK" w:cs="Times New Roman"/>
        </w:rPr>
      </w:pPr>
      <w:r>
        <w:rPr>
          <w:rFonts w:ascii="Times New Roman" w:hAnsi="Times New Roman" w:eastAsia="方正仿宋_GBK" w:cs="Times New Roman"/>
        </w:rPr>
        <w:t>项目过程类指标包括资金管理和组织实施两方面的内容，由5个三级指标构成，权重分值为20分，实际得分20分，得分率为100%。</w:t>
      </w:r>
    </w:p>
    <w:p w14:paraId="67823A06">
      <w:pPr>
        <w:spacing w:line="560" w:lineRule="exact"/>
        <w:rPr>
          <w:rFonts w:ascii="Times New Roman" w:hAnsi="Times New Roman" w:eastAsia="方正仿宋_GBK" w:cs="Times New Roman"/>
        </w:rPr>
      </w:pPr>
      <w:r>
        <w:rPr>
          <w:rFonts w:ascii="Times New Roman" w:hAnsi="Times New Roman" w:eastAsia="方正仿宋_GBK" w:cs="Times New Roman"/>
        </w:rPr>
        <w:t>项目资金使用符合相关的财务管理制度规定，能够反映和考核项目资金的规范运行情况；项目实施单位的财务和业务管理制度健全，能够反映和考核财务和业务管理制度对项目顺利实施的保障情况。</w:t>
      </w:r>
    </w:p>
    <w:p w14:paraId="1CCBDED3">
      <w:pPr>
        <w:spacing w:line="560" w:lineRule="exact"/>
        <w:rPr>
          <w:rFonts w:ascii="Times New Roman" w:hAnsi="Times New Roman" w:eastAsia="方正仿宋_GBK" w:cs="Times New Roman"/>
        </w:rPr>
      </w:pPr>
      <w:r>
        <w:rPr>
          <w:rFonts w:ascii="Times New Roman" w:hAnsi="Times New Roman" w:eastAsia="方正仿宋_GBK" w:cs="Times New Roman"/>
        </w:rPr>
        <w:t>1.资金管理</w:t>
      </w:r>
    </w:p>
    <w:p w14:paraId="0B192488">
      <w:pPr>
        <w:spacing w:line="560" w:lineRule="exact"/>
        <w:rPr>
          <w:rFonts w:ascii="Times New Roman" w:hAnsi="Times New Roman" w:eastAsia="方正仿宋_GBK" w:cs="Times New Roman"/>
        </w:rPr>
      </w:pPr>
      <w:r>
        <w:rPr>
          <w:rFonts w:ascii="Times New Roman" w:hAnsi="Times New Roman" w:eastAsia="方正仿宋_GBK" w:cs="Times New Roman"/>
        </w:rPr>
        <w:t>（1）资金到位率</w:t>
      </w:r>
    </w:p>
    <w:p w14:paraId="39867DB4">
      <w:pPr>
        <w:spacing w:line="560" w:lineRule="exact"/>
        <w:rPr>
          <w:rFonts w:ascii="Times New Roman" w:hAnsi="Times New Roman" w:eastAsia="方正仿宋_GBK" w:cs="Times New Roman"/>
        </w:rPr>
      </w:pPr>
      <w:r>
        <w:rPr>
          <w:rFonts w:ascii="Times New Roman" w:hAnsi="Times New Roman" w:eastAsia="方正仿宋_GBK" w:cs="Times New Roman"/>
        </w:rPr>
        <w:t>本项目总投资105.14万元，财政资金及时足额到位，到位率100%，预算资金按计划进度执行。</w:t>
      </w:r>
    </w:p>
    <w:p w14:paraId="3CE67829">
      <w:pPr>
        <w:spacing w:line="560" w:lineRule="exact"/>
        <w:rPr>
          <w:rFonts w:ascii="Times New Roman" w:hAnsi="Times New Roman" w:eastAsia="方正仿宋_GBK" w:cs="Times New Roman"/>
        </w:rPr>
      </w:pPr>
      <w:r>
        <w:rPr>
          <w:rFonts w:ascii="Times New Roman" w:hAnsi="Times New Roman" w:eastAsia="方正仿宋_GBK" w:cs="Times New Roman"/>
        </w:rPr>
        <w:t>（2）预算执行率</w:t>
      </w:r>
    </w:p>
    <w:p w14:paraId="32BDEFBB">
      <w:pPr>
        <w:spacing w:line="560" w:lineRule="exact"/>
        <w:rPr>
          <w:rFonts w:ascii="Times New Roman" w:hAnsi="Times New Roman" w:eastAsia="方正仿宋_GBK" w:cs="Times New Roman"/>
        </w:rPr>
      </w:pPr>
      <w:r>
        <w:rPr>
          <w:rFonts w:ascii="Times New Roman" w:hAnsi="Times New Roman" w:eastAsia="方正仿宋_GBK" w:cs="Times New Roman"/>
        </w:rPr>
        <w:t>预算编制较为详细，项目资金支出总体能够按照预算执行，预算资金支出88.68万元，预算执行率为84.35%。</w:t>
      </w:r>
    </w:p>
    <w:p w14:paraId="39A341AE">
      <w:pPr>
        <w:spacing w:line="560" w:lineRule="exact"/>
        <w:rPr>
          <w:rFonts w:ascii="Times New Roman" w:hAnsi="Times New Roman" w:eastAsia="方正仿宋_GBK" w:cs="Times New Roman"/>
        </w:rPr>
      </w:pPr>
      <w:r>
        <w:rPr>
          <w:rFonts w:ascii="Times New Roman" w:hAnsi="Times New Roman" w:eastAsia="方正仿宋_GBK" w:cs="Times New Roman"/>
        </w:rPr>
        <w:t>（3）资金使用合规性</w:t>
      </w:r>
    </w:p>
    <w:p w14:paraId="71A313F7">
      <w:pPr>
        <w:spacing w:line="560" w:lineRule="exact"/>
        <w:rPr>
          <w:rFonts w:ascii="Times New Roman" w:hAnsi="Times New Roman" w:eastAsia="方正仿宋_GBK" w:cs="Times New Roman"/>
        </w:rPr>
      </w:pPr>
      <w:r>
        <w:rPr>
          <w:rFonts w:ascii="Times New Roman" w:hAnsi="Times New Roman" w:eastAsia="方正仿宋_GBK" w:cs="Times New Roma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610E03E">
      <w:pPr>
        <w:spacing w:line="560" w:lineRule="exact"/>
        <w:rPr>
          <w:rFonts w:ascii="Times New Roman" w:hAnsi="Times New Roman" w:eastAsia="方正仿宋_GBK" w:cs="Times New Roman"/>
        </w:rPr>
      </w:pPr>
      <w:r>
        <w:rPr>
          <w:rFonts w:ascii="Times New Roman" w:hAnsi="Times New Roman" w:eastAsia="方正仿宋_GBK" w:cs="Times New Roman"/>
        </w:rPr>
        <w:t>2.组织实施</w:t>
      </w:r>
    </w:p>
    <w:p w14:paraId="20AAB00D">
      <w:pPr>
        <w:spacing w:line="560" w:lineRule="exact"/>
        <w:rPr>
          <w:rFonts w:ascii="Times New Roman" w:hAnsi="Times New Roman" w:eastAsia="方正仿宋_GBK" w:cs="Times New Roman"/>
        </w:rPr>
      </w:pPr>
      <w:r>
        <w:rPr>
          <w:rFonts w:ascii="Times New Roman" w:hAnsi="Times New Roman" w:eastAsia="方正仿宋_GBK" w:cs="Times New Roman"/>
        </w:rPr>
        <w:t>（1）管理制度健全性</w:t>
      </w:r>
    </w:p>
    <w:p w14:paraId="73A0D000">
      <w:pPr>
        <w:spacing w:line="560" w:lineRule="exact"/>
        <w:rPr>
          <w:rFonts w:ascii="Times New Roman" w:hAnsi="Times New Roman" w:eastAsia="方正仿宋_GBK" w:cs="Times New Roman"/>
        </w:rPr>
      </w:pPr>
      <w:r>
        <w:rPr>
          <w:rFonts w:ascii="Times New Roman" w:hAnsi="Times New Roman" w:eastAsia="方正仿宋_GBK" w:cs="Times New Roma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A74B6F9">
      <w:pPr>
        <w:spacing w:line="560" w:lineRule="exact"/>
        <w:rPr>
          <w:rFonts w:ascii="Times New Roman" w:hAnsi="Times New Roman" w:eastAsia="方正仿宋_GBK" w:cs="Times New Roman"/>
        </w:rPr>
      </w:pPr>
      <w:r>
        <w:rPr>
          <w:rFonts w:ascii="Times New Roman" w:hAnsi="Times New Roman" w:eastAsia="方正仿宋_GBK" w:cs="Times New Roman"/>
        </w:rPr>
        <w:t>（2）制度执行有效性</w:t>
      </w:r>
    </w:p>
    <w:p w14:paraId="4B0DA579">
      <w:pPr>
        <w:spacing w:line="560" w:lineRule="exact"/>
        <w:rPr>
          <w:rFonts w:ascii="Times New Roman" w:hAnsi="Times New Roman" w:eastAsia="方正仿宋_GBK" w:cs="Times New Roman"/>
        </w:rPr>
      </w:pPr>
      <w:r>
        <w:rPr>
          <w:rFonts w:ascii="Times New Roman" w:hAnsi="Times New Roman" w:eastAsia="方正仿宋_GBK" w:cs="Times New Roman"/>
        </w:rPr>
        <w:t>对资金使用的合法合规性进行监督，年末对资金使用效果进行评价。项目管理、实施人员落实到位，有效按照计划执行。项目执行情况等资料齐全，项目相关手续完备，及时进行归档。</w:t>
      </w:r>
    </w:p>
    <w:p w14:paraId="5011B8DE">
      <w:pPr>
        <w:spacing w:line="560" w:lineRule="exact"/>
        <w:rPr>
          <w:rFonts w:ascii="Times New Roman" w:hAnsi="Times New Roman" w:eastAsia="方正仿宋_GBK" w:cs="Times New Roman"/>
        </w:rPr>
      </w:pPr>
      <w:r>
        <w:rPr>
          <w:rFonts w:hint="eastAsia" w:ascii="Times New Roman" w:hAnsi="Times New Roman" w:eastAsia="方正仿宋_GBK" w:cs="Times New Roman"/>
        </w:rPr>
        <w:t>（三）</w:t>
      </w:r>
      <w:r>
        <w:rPr>
          <w:rFonts w:ascii="Times New Roman" w:hAnsi="Times New Roman" w:eastAsia="方正仿宋_GBK" w:cs="Times New Roman"/>
          <w:b/>
        </w:rPr>
        <w:t>项目产出情况</w:t>
      </w:r>
      <w:r>
        <w:rPr>
          <w:rFonts w:hint="eastAsia" w:ascii="Times New Roman" w:hAnsi="Times New Roman" w:eastAsia="方正仿宋_GBK" w:cs="Times New Roman"/>
        </w:rPr>
        <w:t>扩</w:t>
      </w:r>
    </w:p>
    <w:p w14:paraId="55348798">
      <w:pPr>
        <w:spacing w:line="560" w:lineRule="exact"/>
        <w:rPr>
          <w:rFonts w:ascii="Times New Roman" w:hAnsi="Times New Roman" w:eastAsia="方正仿宋_GBK" w:cs="Times New Roman"/>
        </w:rPr>
      </w:pPr>
      <w:r>
        <w:rPr>
          <w:rFonts w:ascii="Times New Roman" w:hAnsi="Times New Roman" w:eastAsia="方正仿宋_GBK" w:cs="Times New Roman"/>
        </w:rPr>
        <w:t>项目产出类指标包括产出数量、产出质量、产出时效、产出成本四方面的内容，由6个三级指标构成，权重分为</w:t>
      </w:r>
      <w:r>
        <w:rPr>
          <w:rFonts w:hint="eastAsia" w:ascii="Times New Roman" w:hAnsi="Times New Roman" w:eastAsia="方正仿宋_GBK" w:cs="Times New Roman"/>
        </w:rPr>
        <w:t>40</w:t>
      </w:r>
      <w:r>
        <w:rPr>
          <w:rFonts w:ascii="Times New Roman" w:hAnsi="Times New Roman" w:eastAsia="方正仿宋_GBK" w:cs="Times New Roman"/>
        </w:rPr>
        <w:t>分，实际得分</w:t>
      </w:r>
      <w:r>
        <w:rPr>
          <w:rFonts w:hint="eastAsia" w:ascii="Times New Roman" w:hAnsi="Times New Roman" w:eastAsia="方正仿宋_GBK" w:cs="Times New Roman"/>
        </w:rPr>
        <w:t>40</w:t>
      </w:r>
      <w:r>
        <w:rPr>
          <w:rFonts w:ascii="Times New Roman" w:hAnsi="Times New Roman" w:eastAsia="方正仿宋_GBK" w:cs="Times New Roman"/>
        </w:rPr>
        <w:t>分，得分率为</w:t>
      </w:r>
      <w:r>
        <w:rPr>
          <w:rFonts w:hint="eastAsia" w:ascii="Times New Roman" w:hAnsi="Times New Roman" w:eastAsia="方正仿宋_GBK" w:cs="Times New Roman"/>
        </w:rPr>
        <w:t>100</w:t>
      </w:r>
      <w:r>
        <w:rPr>
          <w:rFonts w:ascii="Times New Roman" w:hAnsi="Times New Roman" w:eastAsia="方正仿宋_GBK" w:cs="Times New Roman"/>
        </w:rPr>
        <w:t>%。具体产出指标完成情况如下：</w:t>
      </w:r>
    </w:p>
    <w:p w14:paraId="2A6151AA">
      <w:pPr>
        <w:spacing w:line="560" w:lineRule="exact"/>
        <w:rPr>
          <w:rFonts w:ascii="Times New Roman" w:hAnsi="Times New Roman" w:eastAsia="方正仿宋_GBK" w:cs="Times New Roman"/>
        </w:rPr>
      </w:pPr>
      <w:r>
        <w:rPr>
          <w:rFonts w:ascii="Times New Roman" w:hAnsi="Times New Roman" w:eastAsia="方正仿宋_GBK" w:cs="Times New Roman"/>
        </w:rPr>
        <w:fldChar w:fldCharType="begin"/>
      </w:r>
      <w:r>
        <w:rPr>
          <w:rFonts w:ascii="Times New Roman" w:hAnsi="Times New Roman" w:eastAsia="方正仿宋_GBK" w:cs="Times New Roman"/>
        </w:rPr>
        <w:instrText xml:space="preserve"> = 1 \* GB3 </w:instrText>
      </w:r>
      <w:r>
        <w:rPr>
          <w:rFonts w:ascii="Times New Roman" w:hAnsi="Times New Roman" w:eastAsia="方正仿宋_GBK" w:cs="Times New Roman"/>
        </w:rPr>
        <w:fldChar w:fldCharType="separate"/>
      </w:r>
      <w:r>
        <w:rPr>
          <w:rFonts w:ascii="Times New Roman" w:hAnsi="Times New Roman" w:eastAsia="方正仿宋_GBK" w:cs="Times New Roman"/>
        </w:rPr>
        <w:t>①</w:t>
      </w:r>
      <w:r>
        <w:rPr>
          <w:rFonts w:ascii="Times New Roman" w:hAnsi="Times New Roman" w:eastAsia="方正仿宋_GBK" w:cs="Times New Roman"/>
        </w:rPr>
        <w:fldChar w:fldCharType="end"/>
      </w:r>
      <w:r>
        <w:rPr>
          <w:rFonts w:ascii="Times New Roman" w:hAnsi="Times New Roman" w:eastAsia="方正仿宋_GBK" w:cs="Times New Roman"/>
        </w:rPr>
        <w:t>数量指标：</w:t>
      </w:r>
    </w:p>
    <w:p w14:paraId="5944B88F">
      <w:pPr>
        <w:spacing w:line="560" w:lineRule="exact"/>
        <w:rPr>
          <w:rFonts w:ascii="Times New Roman" w:hAnsi="Times New Roman" w:eastAsia="方正仿宋_GBK" w:cs="Times New Roman"/>
        </w:rPr>
      </w:pPr>
      <w:r>
        <w:rPr>
          <w:rFonts w:ascii="Times New Roman" w:hAnsi="Times New Roman" w:eastAsia="方正仿宋_GBK" w:cs="Times New Roman"/>
        </w:rPr>
        <w:t>指标1：“重度残疾人居家托养补助人数”的目标值≥1748人，2024年度我单位实际完成=1645人，指标完成率：94.1</w:t>
      </w:r>
      <w:r>
        <w:rPr>
          <w:rFonts w:hint="eastAsia" w:ascii="Times New Roman" w:hAnsi="Times New Roman" w:eastAsia="方正仿宋_GBK" w:cs="Times New Roman"/>
        </w:rPr>
        <w:t>1</w:t>
      </w:r>
      <w:r>
        <w:rPr>
          <w:rFonts w:ascii="Times New Roman" w:hAnsi="Times New Roman" w:eastAsia="方正仿宋_GBK" w:cs="Times New Roman"/>
        </w:rPr>
        <w:t>%。</w:t>
      </w:r>
      <w:r>
        <w:rPr>
          <w:rFonts w:hint="eastAsia" w:ascii="Times New Roman" w:hAnsi="Times New Roman" w:eastAsia="方正仿宋_GBK" w:cs="Times New Roman"/>
        </w:rPr>
        <w:t>偏差</w:t>
      </w:r>
      <w:r>
        <w:rPr>
          <w:rFonts w:ascii="Times New Roman" w:hAnsi="Times New Roman" w:eastAsia="方正仿宋_GBK" w:cs="Times New Roman"/>
        </w:rPr>
        <w:t>原因：减少补助人数为政策调整、</w:t>
      </w:r>
      <w:r>
        <w:rPr>
          <w:rFonts w:hint="eastAsia" w:ascii="Times New Roman" w:hAnsi="Times New Roman" w:eastAsia="方正仿宋_GBK" w:cs="Times New Roman"/>
        </w:rPr>
        <w:t>残疾人</w:t>
      </w:r>
      <w:r>
        <w:rPr>
          <w:rFonts w:ascii="Times New Roman" w:hAnsi="Times New Roman" w:eastAsia="方正仿宋_GBK" w:cs="Times New Roman"/>
        </w:rPr>
        <w:t>低保资格取消、死亡、外迁户籍等原因注销</w:t>
      </w:r>
      <w:r>
        <w:rPr>
          <w:rFonts w:hint="eastAsia" w:ascii="Times New Roman" w:hAnsi="Times New Roman" w:eastAsia="方正仿宋_GBK" w:cs="Times New Roman"/>
        </w:rPr>
        <w:t>减少103人,该偏差合理情况。改进措施：与民政、</w:t>
      </w:r>
      <w:r>
        <w:rPr>
          <w:rFonts w:hint="eastAsia" w:ascii="宋体" w:hAnsi="宋体" w:eastAsia="宋体" w:cs="宋体"/>
        </w:rPr>
        <w:t>街道、</w:t>
      </w:r>
      <w:r>
        <w:rPr>
          <w:rFonts w:hint="eastAsia" w:ascii="Times New Roman" w:hAnsi="Times New Roman" w:eastAsia="方正仿宋_GBK" w:cs="Times New Roman"/>
        </w:rPr>
        <w:t>社区等多个部门</w:t>
      </w:r>
      <w:r>
        <w:rPr>
          <w:rFonts w:hint="eastAsia" w:ascii="宋体" w:hAnsi="宋体" w:eastAsia="宋体" w:cs="宋体"/>
        </w:rPr>
        <w:t>协</w:t>
      </w:r>
      <w:r>
        <w:rPr>
          <w:rFonts w:hint="eastAsia" w:ascii="Times New Roman" w:hAnsi="Times New Roman" w:eastAsia="方正仿宋_GBK" w:cs="Times New Roman"/>
        </w:rPr>
        <w:t>调共享残疾人信息，更准确核实残疾人基本</w:t>
      </w:r>
      <w:r>
        <w:rPr>
          <w:rFonts w:hint="eastAsia" w:ascii="宋体" w:hAnsi="宋体" w:eastAsia="宋体" w:cs="宋体"/>
        </w:rPr>
        <w:t>状</w:t>
      </w:r>
      <w:r>
        <w:rPr>
          <w:rFonts w:hint="eastAsia" w:ascii="Times New Roman" w:hAnsi="Times New Roman" w:eastAsia="方正仿宋_GBK" w:cs="Times New Roman"/>
        </w:rPr>
        <w:t>况，准确</w:t>
      </w:r>
      <w:r>
        <w:rPr>
          <w:rFonts w:hint="eastAsia" w:ascii="宋体" w:hAnsi="宋体" w:eastAsia="宋体" w:cs="宋体"/>
        </w:rPr>
        <w:t>掌握</w:t>
      </w:r>
      <w:r>
        <w:rPr>
          <w:rFonts w:hint="eastAsia" w:ascii="Times New Roman" w:hAnsi="Times New Roman" w:eastAsia="方正仿宋_GBK" w:cs="Times New Roman"/>
        </w:rPr>
        <w:t>符合享受条件的残疾人人数。</w:t>
      </w:r>
      <w:r>
        <w:rPr>
          <w:rFonts w:hint="eastAsia" w:ascii="宋体" w:hAnsi="宋体" w:eastAsia="宋体" w:cs="宋体"/>
        </w:rPr>
        <w:t>使</w:t>
      </w:r>
      <w:r>
        <w:rPr>
          <w:rFonts w:hint="eastAsia" w:ascii="Times New Roman" w:hAnsi="Times New Roman" w:eastAsia="方正仿宋_GBK" w:cs="Times New Roman"/>
        </w:rPr>
        <w:t>指标值和完成值尽量保持</w:t>
      </w:r>
      <w:r>
        <w:rPr>
          <w:rFonts w:hint="eastAsia" w:ascii="宋体" w:hAnsi="宋体" w:eastAsia="宋体" w:cs="宋体"/>
        </w:rPr>
        <w:t>一致。</w:t>
      </w:r>
    </w:p>
    <w:p w14:paraId="61515808">
      <w:pPr>
        <w:spacing w:line="560" w:lineRule="exact"/>
        <w:rPr>
          <w:rFonts w:ascii="Times New Roman" w:hAnsi="Times New Roman" w:eastAsia="方正仿宋_GBK" w:cs="Times New Roman"/>
        </w:rPr>
      </w:pPr>
      <w:r>
        <w:rPr>
          <w:rFonts w:ascii="Times New Roman" w:hAnsi="Times New Roman" w:eastAsia="方正仿宋_GBK" w:cs="Times New Roman"/>
        </w:rPr>
        <w:t>指标2：“服务辖区内持证残疾人人数”的目标值≥3900人，2024年度我单位实际完成=4206人，指标完成率：</w:t>
      </w:r>
      <w:r>
        <w:rPr>
          <w:rFonts w:hint="eastAsia" w:ascii="Times New Roman" w:hAnsi="Times New Roman" w:eastAsia="方正仿宋_GBK" w:cs="Times New Roman"/>
        </w:rPr>
        <w:t>107.85</w:t>
      </w:r>
      <w:r>
        <w:rPr>
          <w:rFonts w:ascii="Times New Roman" w:hAnsi="Times New Roman" w:eastAsia="方正仿宋_GBK" w:cs="Times New Roman"/>
        </w:rPr>
        <w:t>%，</w:t>
      </w:r>
      <w:r>
        <w:rPr>
          <w:rFonts w:hint="eastAsia" w:ascii="Times New Roman" w:hAnsi="Times New Roman" w:eastAsia="方正仿宋_GBK" w:cs="Times New Roman"/>
        </w:rPr>
        <w:t>偏差原因：我区2024年度办理残疾证人数持续</w:t>
      </w:r>
      <w:r>
        <w:rPr>
          <w:rFonts w:hint="eastAsia" w:ascii="宋体" w:hAnsi="宋体" w:eastAsia="宋体" w:cs="宋体"/>
        </w:rPr>
        <w:t>增</w:t>
      </w:r>
      <w:r>
        <w:rPr>
          <w:rFonts w:hint="eastAsia" w:ascii="___WRD_EMBED_SUB_46" w:hAnsi="___WRD_EMBED_SUB_46" w:eastAsia="___WRD_EMBED_SUB_46" w:cs="___WRD_EMBED_SUB_46"/>
        </w:rPr>
        <w:t>加</w:t>
      </w:r>
      <w:r>
        <w:rPr>
          <w:rFonts w:hint="eastAsia" w:ascii="Times New Roman" w:hAnsi="Times New Roman" w:eastAsia="方正仿宋_GBK" w:cs="Times New Roman"/>
        </w:rPr>
        <w:t>，对符合享受政策的人群做到了应保尽保，注重提标</w:t>
      </w:r>
      <w:r>
        <w:rPr>
          <w:rFonts w:hint="eastAsia" w:ascii="宋体" w:hAnsi="宋体" w:eastAsia="宋体" w:cs="宋体"/>
        </w:rPr>
        <w:t>扩</w:t>
      </w:r>
      <w:r>
        <w:rPr>
          <w:rFonts w:hint="eastAsia" w:ascii="___WRD_EMBED_SUB_46" w:hAnsi="___WRD_EMBED_SUB_46" w:eastAsia="___WRD_EMBED_SUB_46" w:cs="___WRD_EMBED_SUB_46"/>
        </w:rPr>
        <w:t>面，高</w:t>
      </w:r>
      <w:r>
        <w:rPr>
          <w:rFonts w:hint="eastAsia" w:ascii="Times New Roman" w:hAnsi="Times New Roman" w:eastAsia="方正仿宋_GBK" w:cs="Times New Roman"/>
        </w:rPr>
        <w:t>水平构建社会保障体系</w:t>
      </w:r>
      <w:r>
        <w:rPr>
          <w:rFonts w:hint="eastAsia" w:ascii="___WRD_EMBED_SUB_46" w:hAnsi="___WRD_EMBED_SUB_46" w:eastAsia="___WRD_EMBED_SUB_46" w:cs="___WRD_EMBED_SUB_46"/>
        </w:rPr>
        <w:t>。</w:t>
      </w:r>
      <w:r>
        <w:rPr>
          <w:rFonts w:hint="eastAsia" w:ascii="Times New Roman" w:hAnsi="Times New Roman" w:eastAsia="方正仿宋_GBK" w:cs="Times New Roman"/>
        </w:rPr>
        <w:t>做到关心关爱关注弱势群体</w:t>
      </w:r>
      <w:r>
        <w:rPr>
          <w:rFonts w:hint="eastAsia" w:ascii="___WRD_EMBED_SUB_46" w:hAnsi="___WRD_EMBED_SUB_46" w:eastAsia="___WRD_EMBED_SUB_46" w:cs="___WRD_EMBED_SUB_46"/>
        </w:rPr>
        <w:t>，扩大</w:t>
      </w:r>
      <w:r>
        <w:rPr>
          <w:rFonts w:hint="eastAsia" w:ascii="Times New Roman" w:hAnsi="Times New Roman" w:eastAsia="方正仿宋_GBK" w:cs="Times New Roman"/>
        </w:rPr>
        <w:t>救助受惠面</w:t>
      </w:r>
      <w:r>
        <w:rPr>
          <w:rFonts w:hint="eastAsia" w:ascii="___WRD_EMBED_SUB_46" w:hAnsi="___WRD_EMBED_SUB_46" w:eastAsia="___WRD_EMBED_SUB_46" w:cs="___WRD_EMBED_SUB_46"/>
        </w:rPr>
        <w:t>，</w:t>
      </w:r>
      <w:r>
        <w:rPr>
          <w:rFonts w:hint="eastAsia" w:ascii="Times New Roman" w:hAnsi="Times New Roman" w:eastAsia="方正仿宋_GBK" w:cs="Times New Roman"/>
        </w:rPr>
        <w:t>确保</w:t>
      </w:r>
      <w:r>
        <w:rPr>
          <w:rFonts w:hint="eastAsia" w:ascii="宋体" w:hAnsi="宋体" w:eastAsia="宋体" w:cs="宋体"/>
        </w:rPr>
        <w:t>普</w:t>
      </w:r>
      <w:r>
        <w:rPr>
          <w:rFonts w:hint="eastAsia" w:ascii="Times New Roman" w:hAnsi="Times New Roman" w:eastAsia="方正仿宋_GBK" w:cs="Times New Roman"/>
        </w:rPr>
        <w:t>惠全覆盖。改进措施：今后在绩效目标设定时不应过于保</w:t>
      </w:r>
      <w:r>
        <w:rPr>
          <w:rFonts w:hint="eastAsia" w:ascii="宋体" w:hAnsi="宋体" w:eastAsia="宋体" w:cs="宋体"/>
        </w:rPr>
        <w:t>守，</w:t>
      </w:r>
      <w:r>
        <w:rPr>
          <w:rFonts w:hint="eastAsia" w:ascii="Times New Roman" w:hAnsi="Times New Roman" w:eastAsia="方正仿宋_GBK" w:cs="Times New Roman"/>
        </w:rPr>
        <w:t>应该综合考</w:t>
      </w:r>
      <w:r>
        <w:rPr>
          <w:rFonts w:hint="eastAsia" w:ascii="宋体" w:hAnsi="宋体" w:eastAsia="宋体" w:cs="宋体"/>
        </w:rPr>
        <w:t>虑</w:t>
      </w:r>
      <w:r>
        <w:rPr>
          <w:rFonts w:hint="eastAsia" w:ascii="Times New Roman" w:hAnsi="Times New Roman" w:eastAsia="方正仿宋_GBK" w:cs="Times New Roman"/>
        </w:rPr>
        <w:t>可</w:t>
      </w:r>
      <w:r>
        <w:rPr>
          <w:rFonts w:hint="eastAsia" w:ascii="Times New Roman" w:hAnsi="Times New Roman" w:eastAsia="方正仿宋_GBK" w:cs="Times New Roman"/>
          <w:b/>
        </w:rPr>
        <w:t>能</w:t>
      </w:r>
      <w:r>
        <w:rPr>
          <w:rFonts w:hint="eastAsia" w:ascii="宋体" w:hAnsi="宋体" w:eastAsia="宋体" w:cs="宋体"/>
        </w:rPr>
        <w:t>引起</w:t>
      </w:r>
      <w:r>
        <w:rPr>
          <w:rFonts w:hint="eastAsia" w:ascii="Times New Roman" w:hAnsi="Times New Roman" w:eastAsia="方正仿宋_GBK" w:cs="Times New Roman"/>
        </w:rPr>
        <w:t>绩效目标发</w:t>
      </w:r>
      <w:r>
        <w:rPr>
          <w:rFonts w:hint="eastAsia" w:ascii="宋体" w:hAnsi="宋体" w:eastAsia="宋体" w:cs="宋体"/>
        </w:rPr>
        <w:t>生变动的</w:t>
      </w:r>
      <w:r>
        <w:rPr>
          <w:rFonts w:hint="eastAsia" w:ascii="Times New Roman" w:hAnsi="Times New Roman" w:eastAsia="方正仿宋_GBK" w:cs="Times New Roman"/>
        </w:rPr>
        <w:t>各类情况</w:t>
      </w:r>
      <w:r>
        <w:rPr>
          <w:rFonts w:hint="eastAsia" w:ascii="宋体" w:hAnsi="宋体" w:eastAsia="宋体" w:cs="宋体"/>
        </w:rPr>
        <w:t>，使</w:t>
      </w:r>
      <w:r>
        <w:rPr>
          <w:rFonts w:hint="eastAsia" w:ascii="Times New Roman" w:hAnsi="Times New Roman" w:eastAsia="方正仿宋_GBK" w:cs="Times New Roman"/>
        </w:rPr>
        <w:t>指标值和完成值尽量保持</w:t>
      </w:r>
      <w:r>
        <w:rPr>
          <w:rFonts w:hint="eastAsia" w:ascii="宋体" w:hAnsi="宋体" w:eastAsia="宋体" w:cs="宋体"/>
        </w:rPr>
        <w:t>一致。</w:t>
      </w:r>
      <w:r>
        <w:rPr>
          <w:rFonts w:hint="eastAsia" w:ascii="Times New Roman" w:hAnsi="Times New Roman" w:eastAsia="方正仿宋_GBK" w:cs="Times New Roman"/>
        </w:rPr>
        <w:t>守</w:t>
      </w:r>
    </w:p>
    <w:p w14:paraId="21A7EA89">
      <w:pPr>
        <w:spacing w:line="560" w:lineRule="exact"/>
        <w:rPr>
          <w:rFonts w:ascii="Times New Roman" w:hAnsi="Times New Roman" w:eastAsia="方正仿宋_GBK" w:cs="Times New Roman"/>
        </w:rPr>
      </w:pPr>
      <w:r>
        <w:rPr>
          <w:rFonts w:ascii="Times New Roman" w:hAnsi="Times New Roman" w:eastAsia="方正仿宋_GBK" w:cs="Times New Roman"/>
        </w:rPr>
        <w:t>指标3：“资助困难残疾学生人数”的目标值≥12人，2024年度我单位实际完成1人，指标完成率8.3%。偏差原因：</w:t>
      </w:r>
      <w:r>
        <w:rPr>
          <w:rFonts w:hint="eastAsia" w:ascii="Times New Roman" w:hAnsi="Times New Roman" w:eastAsia="方正仿宋_GBK" w:cs="Times New Roman"/>
        </w:rPr>
        <w:t>在年初设定目标时、资助困难残疾学生学费补贴由残疾人就业保障业务经费列支，后续项目</w:t>
      </w:r>
      <w:r>
        <w:rPr>
          <w:rFonts w:ascii="Times New Roman" w:hAnsi="Times New Roman" w:eastAsia="方正仿宋_GBK" w:cs="Times New Roman"/>
        </w:rPr>
        <w:t>执行中因政策调整、残疾学生的学费补贴由爱心天使基金会承担，不在由残疾人就业保障业务经费列支</w:t>
      </w:r>
      <w:r>
        <w:rPr>
          <w:rFonts w:hint="eastAsia" w:ascii="Times New Roman" w:hAnsi="Times New Roman" w:eastAsia="方正仿宋_GBK" w:cs="Times New Roman"/>
        </w:rPr>
        <w:t>、因此减少11人</w:t>
      </w:r>
      <w:r>
        <w:rPr>
          <w:rFonts w:ascii="Times New Roman" w:hAnsi="Times New Roman" w:eastAsia="方正仿宋_GBK" w:cs="Times New Roman"/>
        </w:rPr>
        <w:t>。</w:t>
      </w:r>
      <w:r>
        <w:rPr>
          <w:rFonts w:hint="eastAsia" w:ascii="Times New Roman" w:hAnsi="Times New Roman" w:eastAsia="方正仿宋_GBK" w:cs="Times New Roman"/>
        </w:rPr>
        <w:t>扩</w:t>
      </w:r>
    </w:p>
    <w:p w14:paraId="1A695638">
      <w:pPr>
        <w:spacing w:line="560" w:lineRule="exact"/>
        <w:rPr>
          <w:rFonts w:ascii="Times New Roman" w:hAnsi="Times New Roman" w:eastAsia="方正仿宋_GBK" w:cs="Times New Roman"/>
        </w:rPr>
      </w:pPr>
      <w:r>
        <w:rPr>
          <w:rFonts w:hint="eastAsia" w:ascii="Times New Roman" w:hAnsi="Times New Roman" w:eastAsia="方正仿宋_GBK" w:cs="Times New Roman"/>
        </w:rPr>
        <w:t>改进措施：多学习业务知识、救助政策，与教育、民政等部门共享残疾学生信息、多沟通，准确核实残疾学生人数。今后在绩效目标设定时不应过于保</w:t>
      </w:r>
      <w:r>
        <w:rPr>
          <w:rFonts w:hint="eastAsia" w:ascii="宋体" w:hAnsi="宋体" w:eastAsia="宋体" w:cs="宋体"/>
        </w:rPr>
        <w:t>守，</w:t>
      </w:r>
      <w:r>
        <w:rPr>
          <w:rFonts w:hint="eastAsia" w:ascii="Times New Roman" w:hAnsi="Times New Roman" w:eastAsia="方正仿宋_GBK" w:cs="Times New Roman"/>
        </w:rPr>
        <w:t>应该综合考</w:t>
      </w:r>
      <w:r>
        <w:rPr>
          <w:rFonts w:hint="eastAsia" w:ascii="宋体" w:hAnsi="宋体" w:eastAsia="宋体" w:cs="宋体"/>
        </w:rPr>
        <w:t>虑</w:t>
      </w:r>
      <w:r>
        <w:rPr>
          <w:rFonts w:hint="eastAsia" w:ascii="Times New Roman" w:hAnsi="Times New Roman" w:eastAsia="方正仿宋_GBK" w:cs="Times New Roman"/>
        </w:rPr>
        <w:t>可能</w:t>
      </w:r>
      <w:r>
        <w:rPr>
          <w:rFonts w:hint="eastAsia" w:ascii="宋体" w:hAnsi="宋体" w:eastAsia="宋体" w:cs="宋体"/>
        </w:rPr>
        <w:t>引起</w:t>
      </w:r>
      <w:r>
        <w:rPr>
          <w:rFonts w:hint="eastAsia" w:ascii="Times New Roman" w:hAnsi="Times New Roman" w:eastAsia="方正仿宋_GBK" w:cs="Times New Roman"/>
        </w:rPr>
        <w:t>绩效目标发生</w:t>
      </w:r>
      <w:r>
        <w:rPr>
          <w:rFonts w:hint="eastAsia" w:ascii="宋体" w:hAnsi="宋体" w:eastAsia="宋体" w:cs="宋体"/>
        </w:rPr>
        <w:t>变动</w:t>
      </w:r>
      <w:r>
        <w:rPr>
          <w:rFonts w:hint="eastAsia" w:ascii="Times New Roman" w:hAnsi="Times New Roman" w:eastAsia="方正仿宋_GBK" w:cs="Times New Roman"/>
        </w:rPr>
        <w:t>的各类情况</w:t>
      </w:r>
      <w:r>
        <w:rPr>
          <w:rFonts w:hint="eastAsia" w:ascii="宋体" w:hAnsi="宋体" w:eastAsia="宋体" w:cs="宋体"/>
        </w:rPr>
        <w:t>，使</w:t>
      </w:r>
      <w:r>
        <w:rPr>
          <w:rFonts w:hint="eastAsia" w:ascii="Times New Roman" w:hAnsi="Times New Roman" w:eastAsia="方正仿宋_GBK" w:cs="Times New Roman"/>
        </w:rPr>
        <w:t>指标值和完成值尽量保持</w:t>
      </w:r>
      <w:r>
        <w:rPr>
          <w:rFonts w:hint="eastAsia" w:ascii="宋体" w:hAnsi="宋体" w:eastAsia="宋体" w:cs="宋体"/>
        </w:rPr>
        <w:t>一致</w:t>
      </w:r>
      <w:r>
        <w:rPr>
          <w:rFonts w:hint="eastAsia" w:ascii="Times New Roman" w:hAnsi="Times New Roman" w:eastAsia="方正仿宋_GBK" w:cs="Times New Roman"/>
        </w:rPr>
        <w:t xml:space="preserve">。掌握  </w:t>
      </w:r>
      <w:r>
        <w:rPr>
          <w:rFonts w:ascii="Times New Roman" w:hAnsi="Times New Roman" w:eastAsia="方正仿宋_GBK" w:cs="Times New Roman"/>
        </w:rPr>
        <w:t>指标4：“春节期间慰问贫困残疾人人数”的目标值≥200人，2024年度我单位实际完成200人，指标完成率100%。无偏差</w:t>
      </w:r>
      <w:r>
        <w:rPr>
          <w:rFonts w:hint="eastAsia" w:ascii="Times New Roman" w:hAnsi="Times New Roman" w:eastAsia="方正仿宋_GBK" w:cs="Times New Roman"/>
        </w:rPr>
        <w:t xml:space="preserve">.    </w:t>
      </w:r>
    </w:p>
    <w:p w14:paraId="4E731E72">
      <w:pPr>
        <w:spacing w:line="560" w:lineRule="exact"/>
        <w:rPr>
          <w:rFonts w:ascii="Times New Roman" w:hAnsi="Times New Roman" w:eastAsia="方正仿宋_GBK" w:cs="Times New Roman"/>
        </w:rPr>
      </w:pPr>
      <w:r>
        <w:rPr>
          <w:rFonts w:ascii="Times New Roman" w:hAnsi="Times New Roman" w:eastAsia="方正仿宋_GBK" w:cs="Times New Roman"/>
        </w:rPr>
        <w:t>②质量指标：</w:t>
      </w:r>
    </w:p>
    <w:p w14:paraId="6FD4AEA2">
      <w:pPr>
        <w:spacing w:line="560" w:lineRule="exact"/>
        <w:rPr>
          <w:rFonts w:ascii="Times New Roman" w:hAnsi="Times New Roman" w:eastAsia="方正仿宋_GBK" w:cs="Times New Roman"/>
        </w:rPr>
      </w:pPr>
      <w:r>
        <w:rPr>
          <w:rFonts w:ascii="Times New Roman" w:hAnsi="Times New Roman" w:eastAsia="方正仿宋_GBK" w:cs="Times New Roman"/>
        </w:rPr>
        <w:t>指标1：“重度残疾人居家托养补贴目标人群覆盖率” ，指标值：≥95%  ，实际完成值：100% ，指标完成率</w:t>
      </w:r>
      <w:r>
        <w:rPr>
          <w:rFonts w:hint="eastAsia" w:ascii="Times New Roman" w:hAnsi="Times New Roman" w:eastAsia="方正仿宋_GBK" w:cs="Times New Roman"/>
        </w:rPr>
        <w:t>105.26%，偏差原因：我区2024年度重度残疾人居家托养目标人群进行全面</w:t>
      </w:r>
      <w:r>
        <w:rPr>
          <w:rFonts w:hint="eastAsia" w:ascii="宋体" w:hAnsi="宋体" w:eastAsia="宋体" w:cs="宋体"/>
        </w:rPr>
        <w:t>摸</w:t>
      </w:r>
      <w:r>
        <w:rPr>
          <w:rFonts w:hint="eastAsia" w:ascii="Times New Roman" w:hAnsi="Times New Roman" w:eastAsia="方正仿宋_GBK" w:cs="Times New Roman"/>
        </w:rPr>
        <w:t>排、依规发放、严格对照相关补贴办法、</w:t>
      </w:r>
      <w:r>
        <w:rPr>
          <w:rFonts w:hint="eastAsia" w:ascii="宋体" w:hAnsi="宋体" w:eastAsia="宋体" w:cs="宋体"/>
        </w:rPr>
        <w:t>切</w:t>
      </w:r>
      <w:r>
        <w:rPr>
          <w:rFonts w:hint="eastAsia" w:ascii="Times New Roman" w:hAnsi="Times New Roman" w:eastAsia="方正仿宋_GBK" w:cs="Times New Roman"/>
        </w:rPr>
        <w:t>实保障各类补贴及时发放。对符合享受政策的人群做到了应保尽保，注重提标</w:t>
      </w:r>
      <w:r>
        <w:rPr>
          <w:rFonts w:hint="eastAsia" w:ascii="宋体" w:hAnsi="宋体" w:eastAsia="宋体" w:cs="宋体"/>
        </w:rPr>
        <w:t>扩</w:t>
      </w:r>
      <w:r>
        <w:rPr>
          <w:rFonts w:hint="eastAsia" w:ascii="___WRD_EMBED_SUB_46" w:hAnsi="___WRD_EMBED_SUB_46" w:eastAsia="___WRD_EMBED_SUB_46" w:cs="___WRD_EMBED_SUB_46"/>
        </w:rPr>
        <w:t>面，高</w:t>
      </w:r>
      <w:r>
        <w:rPr>
          <w:rFonts w:hint="eastAsia" w:ascii="Times New Roman" w:hAnsi="Times New Roman" w:eastAsia="方正仿宋_GBK" w:cs="Times New Roman"/>
        </w:rPr>
        <w:t>水平构建社会保障体系。改进措施：今后在绩效目标设定时不应过于保</w:t>
      </w:r>
      <w:r>
        <w:rPr>
          <w:rFonts w:hint="eastAsia" w:ascii="宋体" w:hAnsi="宋体" w:eastAsia="宋体" w:cs="宋体"/>
        </w:rPr>
        <w:t>守，</w:t>
      </w:r>
      <w:r>
        <w:rPr>
          <w:rFonts w:hint="eastAsia" w:ascii="Times New Roman" w:hAnsi="Times New Roman" w:eastAsia="方正仿宋_GBK" w:cs="Times New Roman"/>
        </w:rPr>
        <w:t>该综合考</w:t>
      </w:r>
      <w:r>
        <w:rPr>
          <w:rFonts w:hint="eastAsia" w:ascii="宋体" w:hAnsi="宋体" w:eastAsia="宋体" w:cs="宋体"/>
        </w:rPr>
        <w:t>虑</w:t>
      </w:r>
      <w:r>
        <w:rPr>
          <w:rFonts w:hint="eastAsia" w:ascii="Times New Roman" w:hAnsi="Times New Roman" w:eastAsia="方正仿宋_GBK" w:cs="Times New Roman"/>
        </w:rPr>
        <w:t>可能</w:t>
      </w:r>
      <w:r>
        <w:rPr>
          <w:rFonts w:hint="eastAsia" w:ascii="宋体" w:hAnsi="宋体" w:eastAsia="宋体" w:cs="宋体"/>
        </w:rPr>
        <w:t>引起</w:t>
      </w:r>
      <w:r>
        <w:rPr>
          <w:rFonts w:hint="eastAsia" w:ascii="Times New Roman" w:hAnsi="Times New Roman" w:eastAsia="方正仿宋_GBK" w:cs="Times New Roman"/>
        </w:rPr>
        <w:t>绩效目标发生</w:t>
      </w:r>
      <w:r>
        <w:rPr>
          <w:rFonts w:hint="eastAsia" w:ascii="宋体" w:hAnsi="宋体" w:eastAsia="宋体" w:cs="宋体"/>
        </w:rPr>
        <w:t>变动</w:t>
      </w:r>
      <w:r>
        <w:rPr>
          <w:rFonts w:hint="eastAsia" w:ascii="Times New Roman" w:hAnsi="Times New Roman" w:eastAsia="方正仿宋_GBK" w:cs="Times New Roman"/>
        </w:rPr>
        <w:t>的各类情况</w:t>
      </w:r>
      <w:r>
        <w:rPr>
          <w:rFonts w:hint="eastAsia" w:ascii="宋体" w:hAnsi="宋体" w:eastAsia="宋体" w:cs="宋体"/>
        </w:rPr>
        <w:t>，使</w:t>
      </w:r>
      <w:r>
        <w:rPr>
          <w:rFonts w:hint="eastAsia" w:ascii="Times New Roman" w:hAnsi="Times New Roman" w:eastAsia="方正仿宋_GBK" w:cs="Times New Roman"/>
        </w:rPr>
        <w:t>指标值和完成值尽量保持</w:t>
      </w:r>
      <w:r>
        <w:rPr>
          <w:rFonts w:hint="eastAsia" w:ascii="宋体" w:hAnsi="宋体" w:eastAsia="宋体" w:cs="宋体"/>
        </w:rPr>
        <w:t>一致</w:t>
      </w:r>
      <w:r>
        <w:rPr>
          <w:rFonts w:hint="eastAsia" w:ascii="Times New Roman" w:hAnsi="Times New Roman" w:eastAsia="方正仿宋_GBK" w:cs="Times New Roman"/>
        </w:rPr>
        <w:t>。</w:t>
      </w:r>
    </w:p>
    <w:p w14:paraId="223412CB">
      <w:pPr>
        <w:spacing w:line="560" w:lineRule="exact"/>
        <w:rPr>
          <w:rFonts w:ascii="Times New Roman" w:hAnsi="Times New Roman" w:eastAsia="方正仿宋_GBK" w:cs="Times New Roman"/>
        </w:rPr>
      </w:pPr>
      <w:r>
        <w:rPr>
          <w:rFonts w:ascii="Times New Roman" w:hAnsi="Times New Roman" w:eastAsia="方正仿宋_GBK" w:cs="Times New Roman"/>
        </w:rPr>
        <w:fldChar w:fldCharType="begin"/>
      </w:r>
      <w:r>
        <w:rPr>
          <w:rFonts w:ascii="Times New Roman" w:hAnsi="Times New Roman" w:eastAsia="方正仿宋_GBK" w:cs="Times New Roman"/>
        </w:rPr>
        <w:instrText xml:space="preserve"> = 3 \* GB3 </w:instrText>
      </w:r>
      <w:r>
        <w:rPr>
          <w:rFonts w:ascii="Times New Roman" w:hAnsi="Times New Roman" w:eastAsia="方正仿宋_GBK" w:cs="Times New Roman"/>
        </w:rPr>
        <w:fldChar w:fldCharType="separate"/>
      </w:r>
      <w:r>
        <w:rPr>
          <w:rFonts w:ascii="Times New Roman" w:hAnsi="Times New Roman" w:eastAsia="方正仿宋_GBK" w:cs="Times New Roman"/>
        </w:rPr>
        <w:t>③</w:t>
      </w:r>
      <w:r>
        <w:rPr>
          <w:rFonts w:ascii="Times New Roman" w:hAnsi="Times New Roman" w:eastAsia="方正仿宋_GBK" w:cs="Times New Roman"/>
        </w:rPr>
        <w:fldChar w:fldCharType="end"/>
      </w:r>
      <w:r>
        <w:rPr>
          <w:rFonts w:ascii="Times New Roman" w:hAnsi="Times New Roman" w:eastAsia="方正仿宋_GBK" w:cs="Times New Roman"/>
        </w:rPr>
        <w:t>成本指标：</w:t>
      </w:r>
    </w:p>
    <w:p w14:paraId="7061E070">
      <w:pPr>
        <w:spacing w:line="560" w:lineRule="exact"/>
        <w:rPr>
          <w:rFonts w:ascii="Times New Roman" w:hAnsi="Times New Roman" w:eastAsia="方正仿宋_GBK" w:cs="Times New Roman"/>
        </w:rPr>
      </w:pPr>
      <w:r>
        <w:rPr>
          <w:rFonts w:ascii="Times New Roman" w:hAnsi="Times New Roman" w:eastAsia="方正仿宋_GBK" w:cs="Times New Roman"/>
        </w:rPr>
        <w:t>指标1：“居家托养补助标准” ，指标值：300元/人/季度  ，实际完成值：300元/人/季度，指标完成率100%。补贴做到了应保尽保、应救尽救，对辖区内符合发放条件的困难群众按季度人均300元的发放、发放标准准确。无偏差。</w:t>
      </w:r>
    </w:p>
    <w:p w14:paraId="2095C450">
      <w:pPr>
        <w:spacing w:line="560" w:lineRule="exact"/>
        <w:rPr>
          <w:rFonts w:ascii="Times New Roman" w:hAnsi="Times New Roman" w:eastAsia="方正仿宋_GBK" w:cs="Times New Roman"/>
        </w:rPr>
      </w:pPr>
      <w:r>
        <w:rPr>
          <w:rFonts w:hint="eastAsia" w:ascii="Times New Roman" w:hAnsi="Times New Roman" w:eastAsia="方正仿宋_GBK" w:cs="Times New Roman"/>
        </w:rPr>
        <w:t>（四）</w:t>
      </w:r>
      <w:r>
        <w:rPr>
          <w:rFonts w:ascii="Times New Roman" w:hAnsi="Times New Roman" w:eastAsia="方正仿宋_GBK" w:cs="Times New Roman"/>
        </w:rPr>
        <w:t>项目效益情况</w:t>
      </w:r>
    </w:p>
    <w:p w14:paraId="386457AB">
      <w:pPr>
        <w:spacing w:line="560" w:lineRule="exact"/>
        <w:rPr>
          <w:rFonts w:ascii="Times New Roman" w:hAnsi="Times New Roman" w:eastAsia="方正仿宋_GBK" w:cs="Times New Roman"/>
        </w:rPr>
      </w:pPr>
      <w:r>
        <w:rPr>
          <w:rFonts w:ascii="Times New Roman" w:hAnsi="Times New Roman" w:eastAsia="方正仿宋_GBK" w:cs="Times New Roman"/>
        </w:rPr>
        <w:t>项目效益类指标包括项目实施效益和满意度两方面的内容，由2个三级指标构成，权重分为30分，实际得分30分，得分率为100%。具体效益指标及满意度指标完成情况如下：</w:t>
      </w:r>
    </w:p>
    <w:p w14:paraId="26A7936D">
      <w:pPr>
        <w:spacing w:line="560" w:lineRule="exact"/>
        <w:rPr>
          <w:rFonts w:ascii="Times New Roman" w:hAnsi="Times New Roman" w:eastAsia="方正仿宋_GBK" w:cs="Times New Roman"/>
        </w:rPr>
      </w:pPr>
      <w:r>
        <w:rPr>
          <w:rFonts w:ascii="Times New Roman" w:hAnsi="Times New Roman" w:eastAsia="方正仿宋_GBK" w:cs="Times New Roman"/>
        </w:rPr>
        <w:t>1.实施效益</w:t>
      </w:r>
    </w:p>
    <w:p w14:paraId="2D77F695">
      <w:pPr>
        <w:spacing w:line="560" w:lineRule="exact"/>
        <w:rPr>
          <w:rFonts w:ascii="Times New Roman" w:hAnsi="Times New Roman" w:eastAsia="方正仿宋_GBK" w:cs="Times New Roman"/>
        </w:rPr>
      </w:pPr>
      <w:r>
        <w:rPr>
          <w:rFonts w:ascii="Times New Roman" w:hAnsi="Times New Roman" w:eastAsia="方正仿宋_GBK" w:cs="Times New Roman"/>
        </w:rPr>
        <w:t>①社会效益指标：</w:t>
      </w:r>
    </w:p>
    <w:p w14:paraId="23F77138">
      <w:pPr>
        <w:spacing w:line="560" w:lineRule="exact"/>
        <w:rPr>
          <w:rFonts w:ascii="Times New Roman" w:hAnsi="Times New Roman" w:eastAsia="方正仿宋_GBK" w:cs="Times New Roman"/>
        </w:rPr>
      </w:pPr>
      <w:r>
        <w:rPr>
          <w:rFonts w:ascii="Times New Roman" w:hAnsi="Times New Roman" w:eastAsia="方正仿宋_GBK" w:cs="Times New Roman"/>
        </w:rPr>
        <w:t>指标1 ：“提高残疾人及其家庭生活水平” ，指标值：有所提高  ，实际完成值：完全达到预期效果，指标完成率100%。本项目的实施体现了党和政府对弱势群体的关心和关爱，提升了困难群众的获得感、幸福感、安全感。无偏差。</w:t>
      </w:r>
    </w:p>
    <w:p w14:paraId="6E33C663">
      <w:pPr>
        <w:spacing w:line="560" w:lineRule="exact"/>
        <w:rPr>
          <w:rFonts w:ascii="Times New Roman" w:hAnsi="Times New Roman" w:eastAsia="方正仿宋_GBK" w:cs="Times New Roman"/>
        </w:rPr>
      </w:pPr>
      <w:r>
        <w:rPr>
          <w:rFonts w:ascii="Times New Roman" w:hAnsi="Times New Roman" w:eastAsia="方正仿宋_GBK" w:cs="Times New Roman"/>
        </w:rPr>
        <w:t>2.满意度</w:t>
      </w:r>
    </w:p>
    <w:p w14:paraId="5A850D29">
      <w:pPr>
        <w:spacing w:line="560" w:lineRule="exact"/>
        <w:rPr>
          <w:rFonts w:ascii="Times New Roman" w:hAnsi="Times New Roman" w:eastAsia="方正仿宋_GBK" w:cs="Times New Roman"/>
        </w:rPr>
      </w:pPr>
      <w:r>
        <w:rPr>
          <w:rFonts w:ascii="Times New Roman" w:hAnsi="Times New Roman" w:eastAsia="方正仿宋_GBK" w:cs="Times New Roman"/>
        </w:rPr>
        <w:t>指标1：满意度指标：“受托残疾人及其家庭满意度” ，指标值：</w:t>
      </w:r>
      <w:r>
        <w:rPr>
          <w:rFonts w:hint="eastAsia" w:ascii="Times New Roman" w:hAnsi="Times New Roman" w:eastAsia="方正仿宋_GBK" w:cs="Times New Roman"/>
        </w:rPr>
        <w:t>受托残疾人满意度</w:t>
      </w:r>
      <w:r>
        <w:rPr>
          <w:rFonts w:ascii="Times New Roman" w:hAnsi="Times New Roman" w:eastAsia="方正仿宋_GBK" w:cs="Times New Roman"/>
        </w:rPr>
        <w:t>，</w:t>
      </w:r>
      <w:r>
        <w:rPr>
          <w:rFonts w:hint="eastAsia" w:ascii="Times New Roman" w:hAnsi="Times New Roman" w:eastAsia="方正仿宋_GBK" w:cs="Times New Roman"/>
        </w:rPr>
        <w:t>指标</w:t>
      </w:r>
      <w:r>
        <w:rPr>
          <w:rFonts w:ascii="Times New Roman" w:hAnsi="Times New Roman" w:eastAsia="方正仿宋_GBK" w:cs="Times New Roman"/>
        </w:rPr>
        <w:t>值：≥85%，</w:t>
      </w:r>
      <w:r>
        <w:rPr>
          <w:rFonts w:hint="eastAsia" w:ascii="Times New Roman" w:hAnsi="Times New Roman" w:eastAsia="方正仿宋_GBK" w:cs="Times New Roman"/>
        </w:rPr>
        <w:t>实际</w:t>
      </w:r>
      <w:r>
        <w:rPr>
          <w:rFonts w:ascii="Times New Roman" w:hAnsi="Times New Roman" w:eastAsia="方正仿宋_GBK" w:cs="Times New Roman"/>
        </w:rPr>
        <w:t>完成</w:t>
      </w:r>
      <w:r>
        <w:rPr>
          <w:rFonts w:hint="eastAsia" w:ascii="Times New Roman" w:hAnsi="Times New Roman" w:eastAsia="方正仿宋_GBK" w:cs="Times New Roman"/>
        </w:rPr>
        <w:t>值</w:t>
      </w:r>
      <w:r>
        <w:rPr>
          <w:rFonts w:ascii="Times New Roman" w:hAnsi="Times New Roman" w:eastAsia="方正仿宋_GBK" w:cs="Times New Roman"/>
        </w:rPr>
        <w:t>100%</w:t>
      </w:r>
      <w:r>
        <w:rPr>
          <w:rFonts w:hint="eastAsia" w:ascii="Times New Roman" w:hAnsi="Times New Roman" w:eastAsia="方正仿宋_GBK" w:cs="Times New Roman"/>
        </w:rPr>
        <w:t>，指标完成率：117.65%。偏差原因：我区2024年度办理残疾证人数持续</w:t>
      </w:r>
      <w:r>
        <w:rPr>
          <w:rFonts w:hint="eastAsia" w:ascii="宋体" w:hAnsi="宋体" w:eastAsia="宋体" w:cs="宋体"/>
        </w:rPr>
        <w:t>增</w:t>
      </w:r>
      <w:r>
        <w:rPr>
          <w:rFonts w:hint="eastAsia" w:ascii="___WRD_EMBED_SUB_46" w:hAnsi="___WRD_EMBED_SUB_46" w:eastAsia="___WRD_EMBED_SUB_46" w:cs="___WRD_EMBED_SUB_46"/>
        </w:rPr>
        <w:t>加</w:t>
      </w:r>
      <w:r>
        <w:rPr>
          <w:rFonts w:hint="eastAsia" w:ascii="Times New Roman" w:hAnsi="Times New Roman" w:eastAsia="方正仿宋_GBK" w:cs="Times New Roman"/>
        </w:rPr>
        <w:t>，对符合享受政策的人群做到了应保尽保，注重提标</w:t>
      </w:r>
      <w:r>
        <w:rPr>
          <w:rFonts w:hint="eastAsia" w:ascii="宋体" w:hAnsi="宋体" w:eastAsia="宋体" w:cs="宋体"/>
        </w:rPr>
        <w:t>扩</w:t>
      </w:r>
      <w:r>
        <w:rPr>
          <w:rFonts w:hint="eastAsia" w:ascii="___WRD_EMBED_SUB_46" w:hAnsi="___WRD_EMBED_SUB_46" w:eastAsia="___WRD_EMBED_SUB_46" w:cs="___WRD_EMBED_SUB_46"/>
        </w:rPr>
        <w:t>面，高</w:t>
      </w:r>
      <w:r>
        <w:rPr>
          <w:rFonts w:hint="eastAsia" w:ascii="Times New Roman" w:hAnsi="Times New Roman" w:eastAsia="方正仿宋_GBK" w:cs="Times New Roman"/>
        </w:rPr>
        <w:t>水平构建社会保障体系</w:t>
      </w:r>
      <w:r>
        <w:rPr>
          <w:rFonts w:hint="eastAsia" w:ascii="___WRD_EMBED_SUB_46" w:hAnsi="___WRD_EMBED_SUB_46" w:eastAsia="___WRD_EMBED_SUB_46" w:cs="___WRD_EMBED_SUB_46"/>
        </w:rPr>
        <w:t>。</w:t>
      </w:r>
      <w:r>
        <w:rPr>
          <w:rFonts w:hint="eastAsia" w:ascii="Times New Roman" w:hAnsi="Times New Roman" w:eastAsia="方正仿宋_GBK" w:cs="Times New Roman"/>
        </w:rPr>
        <w:t>落实关心关爱关注弱势群体</w:t>
      </w:r>
      <w:r>
        <w:rPr>
          <w:rFonts w:hint="eastAsia" w:ascii="___WRD_EMBED_SUB_46" w:hAnsi="___WRD_EMBED_SUB_46" w:eastAsia="___WRD_EMBED_SUB_46" w:cs="___WRD_EMBED_SUB_46"/>
        </w:rPr>
        <w:t>，扩大</w:t>
      </w:r>
      <w:r>
        <w:rPr>
          <w:rFonts w:hint="eastAsia" w:ascii="Times New Roman" w:hAnsi="Times New Roman" w:eastAsia="方正仿宋_GBK" w:cs="Times New Roman"/>
        </w:rPr>
        <w:t>救助受惠面</w:t>
      </w:r>
      <w:r>
        <w:rPr>
          <w:rFonts w:hint="eastAsia" w:ascii="___WRD_EMBED_SUB_46" w:hAnsi="___WRD_EMBED_SUB_46" w:eastAsia="___WRD_EMBED_SUB_46" w:cs="___WRD_EMBED_SUB_46"/>
        </w:rPr>
        <w:t>，</w:t>
      </w:r>
      <w:r>
        <w:rPr>
          <w:rFonts w:hint="eastAsia" w:ascii="Times New Roman" w:hAnsi="Times New Roman" w:eastAsia="方正仿宋_GBK" w:cs="Times New Roman"/>
        </w:rPr>
        <w:t>确保</w:t>
      </w:r>
      <w:r>
        <w:rPr>
          <w:rFonts w:hint="eastAsia" w:ascii="宋体" w:hAnsi="宋体" w:eastAsia="宋体" w:cs="宋体"/>
        </w:rPr>
        <w:t>普</w:t>
      </w:r>
      <w:r>
        <w:rPr>
          <w:rFonts w:hint="eastAsia" w:ascii="Times New Roman" w:hAnsi="Times New Roman" w:eastAsia="方正仿宋_GBK" w:cs="Times New Roman"/>
        </w:rPr>
        <w:t>惠全覆盖，</w:t>
      </w:r>
      <w:r>
        <w:rPr>
          <w:rFonts w:ascii="Times New Roman" w:hAnsi="Times New Roman" w:eastAsia="方正仿宋_GBK" w:cs="Times New Roman"/>
        </w:rPr>
        <w:t>残疾人各项补贴做到了应保尽保、应救尽救，我单位在预算资金下达的第一时间便对接财政局将补贴资金发放至困难群众手中。本项目的实施体现了党和政府对弱势群体的关心和关爱，提升了困难群众的获得感、幸福感、安全感</w:t>
      </w:r>
      <w:r>
        <w:rPr>
          <w:rFonts w:hint="eastAsia" w:ascii="Times New Roman" w:hAnsi="Times New Roman" w:eastAsia="方正仿宋_GBK" w:cs="Times New Roman"/>
        </w:rPr>
        <w:t>，因此满意度达到100%。该偏差属于合理情况。改进措施：今后在绩效目标设定时不应过于保</w:t>
      </w:r>
      <w:r>
        <w:rPr>
          <w:rFonts w:hint="eastAsia" w:ascii="宋体" w:hAnsi="宋体" w:eastAsia="宋体" w:cs="宋体"/>
        </w:rPr>
        <w:t>守，</w:t>
      </w:r>
      <w:r>
        <w:rPr>
          <w:rFonts w:hint="eastAsia" w:ascii="Times New Roman" w:hAnsi="Times New Roman" w:eastAsia="方正仿宋_GBK" w:cs="Times New Roman"/>
        </w:rPr>
        <w:t>应该综合考</w:t>
      </w:r>
      <w:r>
        <w:rPr>
          <w:rFonts w:hint="eastAsia" w:ascii="宋体" w:hAnsi="宋体" w:eastAsia="宋体" w:cs="宋体"/>
        </w:rPr>
        <w:t>虑</w:t>
      </w:r>
      <w:r>
        <w:rPr>
          <w:rFonts w:hint="eastAsia" w:ascii="Times New Roman" w:hAnsi="Times New Roman" w:eastAsia="方正仿宋_GBK" w:cs="Times New Roman"/>
        </w:rPr>
        <w:t>可</w:t>
      </w:r>
      <w:r>
        <w:rPr>
          <w:rFonts w:hint="eastAsia" w:ascii="Times New Roman" w:hAnsi="Times New Roman" w:eastAsia="方正仿宋_GBK" w:cs="Times New Roman"/>
          <w:b/>
        </w:rPr>
        <w:t>能</w:t>
      </w:r>
      <w:r>
        <w:rPr>
          <w:rFonts w:hint="eastAsia" w:ascii="宋体" w:hAnsi="宋体" w:eastAsia="宋体" w:cs="宋体"/>
        </w:rPr>
        <w:t>引起</w:t>
      </w:r>
      <w:r>
        <w:rPr>
          <w:rFonts w:hint="eastAsia" w:ascii="Times New Roman" w:hAnsi="Times New Roman" w:eastAsia="方正仿宋_GBK" w:cs="Times New Roman"/>
        </w:rPr>
        <w:t>绩效目标发</w:t>
      </w:r>
      <w:r>
        <w:rPr>
          <w:rFonts w:hint="eastAsia" w:ascii="宋体" w:hAnsi="宋体" w:eastAsia="宋体" w:cs="宋体"/>
        </w:rPr>
        <w:t>生变动的</w:t>
      </w:r>
      <w:r>
        <w:rPr>
          <w:rFonts w:hint="eastAsia" w:ascii="Times New Roman" w:hAnsi="Times New Roman" w:eastAsia="方正仿宋_GBK" w:cs="Times New Roman"/>
        </w:rPr>
        <w:t>各类情况</w:t>
      </w:r>
      <w:r>
        <w:rPr>
          <w:rFonts w:hint="eastAsia" w:ascii="宋体" w:hAnsi="宋体" w:eastAsia="宋体" w:cs="宋体"/>
        </w:rPr>
        <w:t>，使</w:t>
      </w:r>
      <w:r>
        <w:rPr>
          <w:rFonts w:hint="eastAsia" w:ascii="Times New Roman" w:hAnsi="Times New Roman" w:eastAsia="方正仿宋_GBK" w:cs="Times New Roman"/>
        </w:rPr>
        <w:t>指标值和完成值尽量保持</w:t>
      </w:r>
      <w:r>
        <w:rPr>
          <w:rFonts w:hint="eastAsia" w:ascii="宋体" w:hAnsi="宋体" w:eastAsia="宋体" w:cs="宋体"/>
        </w:rPr>
        <w:t>一致。</w:t>
      </w:r>
    </w:p>
    <w:p w14:paraId="31CD2C5A">
      <w:pPr>
        <w:spacing w:line="560" w:lineRule="exact"/>
        <w:ind w:firstLine="800" w:firstLineChars="250"/>
        <w:rPr>
          <w:rFonts w:ascii="方正黑体_GBK" w:hAnsi="方正黑体_GBK" w:eastAsia="方正黑体_GBK" w:cs="方正黑体_GBK"/>
        </w:rPr>
      </w:pPr>
      <w:r>
        <w:rPr>
          <w:rFonts w:hint="eastAsia" w:ascii="方正黑体_GBK" w:hAnsi="方正黑体_GBK" w:eastAsia="方正黑体_GBK" w:cs="方正黑体_GBK"/>
        </w:rPr>
        <w:t>五、主要经验及做法、存在的问题及原因分析</w:t>
      </w:r>
    </w:p>
    <w:p w14:paraId="674B6FED">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（一）主要经验及做法</w:t>
      </w:r>
    </w:p>
    <w:p w14:paraId="08E12686">
      <w:pPr>
        <w:spacing w:line="560" w:lineRule="exact"/>
        <w:rPr>
          <w:rFonts w:ascii="Times New Roman" w:hAnsi="Times New Roman" w:eastAsia="方正仿宋_GBK" w:cs="Times New Roman"/>
        </w:rPr>
      </w:pPr>
      <w:r>
        <w:rPr>
          <w:rFonts w:ascii="Times New Roman" w:hAnsi="Times New Roman" w:eastAsia="方正仿宋_GBK" w:cs="Times New Roma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6492A7E">
      <w:pPr>
        <w:spacing w:line="560" w:lineRule="exact"/>
        <w:rPr>
          <w:rFonts w:ascii="Times New Roman" w:hAnsi="Times New Roman" w:eastAsia="方正仿宋_GBK" w:cs="Times New Roman"/>
        </w:rPr>
      </w:pPr>
      <w:r>
        <w:rPr>
          <w:rFonts w:ascii="Times New Roman" w:hAnsi="Times New Roman" w:eastAsia="方正仿宋_GBK" w:cs="Times New Roma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C5B6EAD">
      <w:pPr>
        <w:spacing w:line="560" w:lineRule="exact"/>
        <w:rPr>
          <w:rFonts w:ascii="Times New Roman" w:hAnsi="Times New Roman" w:eastAsia="方正仿宋_GBK" w:cs="Times New Roman"/>
        </w:rPr>
      </w:pPr>
      <w:r>
        <w:rPr>
          <w:rFonts w:hint="eastAsia" w:ascii="方正楷体_GBK" w:hAnsi="方正楷体_GBK" w:eastAsia="方正楷体_GBK" w:cs="方正楷体_GBK"/>
        </w:rPr>
        <w:t>（二）存在的问题及原因分析</w:t>
      </w:r>
    </w:p>
    <w:p w14:paraId="65517CA9">
      <w:pPr>
        <w:spacing w:line="560" w:lineRule="exact"/>
        <w:rPr>
          <w:rFonts w:ascii="Times New Roman" w:hAnsi="Times New Roman" w:eastAsia="方正仿宋_GBK" w:cs="Times New Roman"/>
        </w:rPr>
      </w:pPr>
      <w:r>
        <w:rPr>
          <w:rFonts w:ascii="Times New Roman" w:hAnsi="Times New Roman" w:eastAsia="方正仿宋_GBK" w:cs="Times New Roman"/>
        </w:rPr>
        <w:t>1.相关绩效管理方面专业知识的系统性学习有待加强。各项指标的设置要进一步优化、完善，主要在细化、量化上改进。在绩效自评过程中，</w:t>
      </w:r>
      <w:r>
        <w:rPr>
          <w:rFonts w:ascii="Times New Roman" w:hAnsi="Times New Roman" w:eastAsia="方正仿宋_GBK" w:cs="Times New Roman"/>
          <w:sz w:val="32"/>
        </w:rPr>
        <w:t>由于部分人员</w:t>
      </w:r>
      <w:r>
        <w:rPr>
          <w:rFonts w:ascii="Times New Roman" w:hAnsi="Times New Roman" w:eastAsia="方正仿宋_GBK" w:cs="Times New Roman"/>
        </w:rPr>
        <w:t>缺乏相关绩效管理专业知识，自评价工作还存在自我审定的局限性，影响评价质量。</w:t>
      </w:r>
    </w:p>
    <w:p w14:paraId="1734349A">
      <w:pPr>
        <w:spacing w:line="560" w:lineRule="exact"/>
        <w:rPr>
          <w:rFonts w:ascii="Times New Roman" w:hAnsi="Times New Roman" w:eastAsia="方正仿宋_GBK" w:cs="Times New Roman"/>
        </w:rPr>
      </w:pPr>
      <w:r>
        <w:rPr>
          <w:rFonts w:ascii="Times New Roman" w:hAnsi="Times New Roman" w:eastAsia="方正仿宋_GBK" w:cs="Times New Roman"/>
        </w:rPr>
        <w:t>2.因轮岗、调动、等因素使我单位绩效工作人员流动频繁，造成了工作衔接不到位的情况。</w:t>
      </w:r>
    </w:p>
    <w:p w14:paraId="3E88DE56">
      <w:pPr>
        <w:spacing w:line="560" w:lineRule="exact"/>
        <w:rPr>
          <w:rFonts w:ascii="方正黑体_GBK" w:hAnsi="方正黑体_GBK" w:eastAsia="方正黑体_GBK" w:cs="方正黑体_GBK"/>
        </w:rPr>
      </w:pPr>
      <w:r>
        <w:rPr>
          <w:rFonts w:hint="eastAsia" w:ascii="方正黑体_GBK" w:hAnsi="方正黑体_GBK" w:eastAsia="方正黑体_GBK" w:cs="方正黑体_GBK"/>
        </w:rPr>
        <w:t>六、有关建议</w:t>
      </w:r>
    </w:p>
    <w:p w14:paraId="16FED390">
      <w:pPr>
        <w:spacing w:line="560" w:lineRule="exact"/>
        <w:rPr>
          <w:rFonts w:ascii="Times New Roman" w:hAnsi="Times New Roman" w:eastAsia="方正仿宋_GBK" w:cs="Times New Roman"/>
        </w:rPr>
      </w:pPr>
      <w:r>
        <w:rPr>
          <w:rFonts w:ascii="Times New Roman" w:hAnsi="Times New Roman" w:eastAsia="方正仿宋_GBK" w:cs="Times New Roman"/>
        </w:rPr>
        <w:t>1.多进行有关绩效管理工作方面的培训。积极组织第三方开展绩效管理工作培训，进一步夯实业务基础，提高我单位绩效人员水平。</w:t>
      </w:r>
    </w:p>
    <w:p w14:paraId="78A58EAD">
      <w:pPr>
        <w:spacing w:line="560" w:lineRule="exact"/>
        <w:rPr>
          <w:rFonts w:ascii="Times New Roman" w:hAnsi="Times New Roman" w:eastAsia="方正仿宋_GBK" w:cs="Times New Roman"/>
        </w:rPr>
      </w:pPr>
      <w:r>
        <w:rPr>
          <w:rFonts w:ascii="Times New Roman" w:hAnsi="Times New Roman" w:eastAsia="方正仿宋_GBK" w:cs="Times New Roman"/>
        </w:rPr>
        <w:t>2.专门设定对绩效工作人员定职、定岗、定责等相关制度措施，进一步提升我单位绩效管理工作业务水平，扎实做好绩效管理工作。</w:t>
      </w:r>
    </w:p>
    <w:p w14:paraId="30C2CD62">
      <w:pPr>
        <w:spacing w:line="560" w:lineRule="exact"/>
        <w:rPr>
          <w:rFonts w:ascii="Times New Roman" w:hAnsi="Times New Roman" w:eastAsia="方正仿宋_GBK" w:cs="Times New Roman"/>
        </w:rPr>
      </w:pPr>
      <w:r>
        <w:rPr>
          <w:rFonts w:ascii="Times New Roman" w:hAnsi="Times New Roman" w:eastAsia="方正仿宋_GBK" w:cs="Times New Roma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4EF89A3">
      <w:pPr>
        <w:spacing w:line="560" w:lineRule="exact"/>
        <w:rPr>
          <w:rFonts w:ascii="Times New Roman" w:hAnsi="Times New Roman" w:eastAsia="方正仿宋_GBK" w:cs="Times New Roman"/>
        </w:rPr>
      </w:pPr>
      <w:r>
        <w:rPr>
          <w:rFonts w:ascii="Times New Roman" w:hAnsi="Times New Roman" w:eastAsia="方正仿宋_GBK" w:cs="Times New Roman"/>
        </w:rPr>
        <w:t>4.进一步完善项目评价过程中有关数据和资料的收集、整理、审核及分析。项目启动时同步做好档案的归纳与整理，及时整理、收集、汇总，健全档案资料。项目后续管理有待进一步加强和跟踪。</w:t>
      </w:r>
    </w:p>
    <w:p w14:paraId="7CE39FD1">
      <w:pPr>
        <w:spacing w:line="560" w:lineRule="exact"/>
        <w:rPr>
          <w:rFonts w:ascii="Times New Roman" w:hAnsi="Times New Roman" w:eastAsia="方正仿宋_GBK" w:cs="Times New Roman"/>
        </w:rPr>
      </w:pPr>
      <w:r>
        <w:rPr>
          <w:rFonts w:ascii="Times New Roman" w:hAnsi="Times New Roman" w:eastAsia="方正仿宋_GBK" w:cs="Times New Roma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0CDD480">
      <w:pPr>
        <w:rPr>
          <w:rFonts w:ascii="方正黑体_GBK" w:hAnsi="方正黑体_GBK" w:eastAsia="方正黑体_GBK" w:cs="方正黑体_GBK"/>
        </w:rPr>
      </w:pPr>
      <w:r>
        <w:rPr>
          <w:rFonts w:hint="eastAsia" w:ascii="方正黑体_GBK" w:hAnsi="方正黑体_GBK" w:eastAsia="方正黑体_GBK" w:cs="方正黑体_GBK"/>
        </w:rPr>
        <w:t>七、其他需要说</w:t>
      </w:r>
      <w:bookmarkStart w:id="6" w:name="page8"/>
      <w:bookmarkEnd w:id="6"/>
      <w:r>
        <w:rPr>
          <w:rFonts w:hint="eastAsia" w:ascii="方正黑体_GBK" w:hAnsi="方正黑体_GBK" w:eastAsia="方正黑体_GBK" w:cs="方正黑体_GBK"/>
        </w:rPr>
        <w:t>明的问题</w:t>
      </w:r>
    </w:p>
    <w:p w14:paraId="1D5E85DC">
      <w:pPr>
        <w:rPr>
          <w:rFonts w:ascii="方正仿宋_GBK" w:hAnsi="方正仿宋_GBK" w:eastAsia="方正仿宋_GBK" w:cs="方正仿宋_GBK"/>
        </w:rPr>
      </w:pPr>
      <w:r>
        <w:rPr>
          <w:rFonts w:hint="eastAsia" w:ascii="方正仿宋_GBK" w:hAnsi="方正仿宋_GBK" w:eastAsia="方正仿宋_GBK" w:cs="方正仿宋_GBK"/>
        </w:rPr>
        <w:t>本项目无其他需说明的问题。</w:t>
      </w:r>
    </w:p>
    <w:p w14:paraId="1F9AAB37">
      <w:pPr>
        <w:rPr>
          <w:rFonts w:ascii="方正仿宋_GBK" w:hAnsi="方正仿宋_GBK" w:eastAsia="方正仿宋_GBK" w:cs="方正仿宋_GBK"/>
        </w:rPr>
      </w:pPr>
    </w:p>
    <w:p w14:paraId="65F7E7C9">
      <w:pPr>
        <w:ind w:firstLine="0" w:firstLineChars="0"/>
        <w:rPr>
          <w:rFonts w:ascii="方正仿宋_GBK" w:hAnsi="方正仿宋_GBK" w:eastAsia="方正仿宋_GBK" w:cs="方正仿宋_GBK"/>
        </w:rPr>
      </w:pPr>
    </w:p>
    <w:p w14:paraId="1C1FE4C5">
      <w:pPr>
        <w:ind w:firstLine="0" w:firstLineChars="0"/>
        <w:rPr>
          <w:rFonts w:ascii="方正仿宋_GBK" w:hAnsi="方正仿宋_GBK" w:eastAsia="方正仿宋_GBK" w:cs="方正仿宋_GBK"/>
        </w:rPr>
      </w:pPr>
    </w:p>
    <w:p w14:paraId="1035D6B6">
      <w:pPr>
        <w:ind w:firstLine="0" w:firstLineChars="0"/>
        <w:rPr>
          <w:rFonts w:ascii="方正仿宋_GBK" w:hAnsi="方正仿宋_GBK" w:eastAsia="方正仿宋_GBK" w:cs="方正仿宋_GBK"/>
        </w:rPr>
      </w:pPr>
    </w:p>
    <w:p w14:paraId="40AB4C37">
      <w:pPr>
        <w:ind w:firstLine="0" w:firstLineChars="0"/>
        <w:rPr>
          <w:rFonts w:ascii="方正仿宋_GBK" w:hAnsi="方正仿宋_GBK" w:eastAsia="方正仿宋_GBK" w:cs="方正仿宋_GBK"/>
        </w:rPr>
      </w:pPr>
    </w:p>
    <w:p w14:paraId="5A1A077F">
      <w:pPr>
        <w:ind w:firstLine="0" w:firstLineChars="0"/>
        <w:rPr>
          <w:rFonts w:ascii="方正仿宋_GBK" w:hAnsi="方正仿宋_GBK" w:eastAsia="方正仿宋_GBK" w:cs="方正仿宋_GBK"/>
        </w:rPr>
      </w:pPr>
    </w:p>
    <w:p w14:paraId="60BD0626">
      <w:pPr>
        <w:ind w:firstLine="0" w:firstLineChars="0"/>
        <w:rPr>
          <w:rFonts w:ascii="方正仿宋_GBK" w:hAnsi="方正仿宋_GBK" w:eastAsia="方正仿宋_GBK" w:cs="方正仿宋_GBK"/>
        </w:rPr>
      </w:pPr>
    </w:p>
    <w:p w14:paraId="592EA422">
      <w:pPr>
        <w:ind w:firstLine="0" w:firstLineChars="0"/>
        <w:rPr>
          <w:rFonts w:ascii="方正仿宋_GBK" w:hAnsi="方正仿宋_GBK" w:eastAsia="方正仿宋_GBK" w:cs="方正仿宋_GBK"/>
        </w:rPr>
      </w:pPr>
    </w:p>
    <w:p w14:paraId="2849C9BC">
      <w:pPr>
        <w:ind w:firstLine="0" w:firstLineChars="0"/>
        <w:rPr>
          <w:rFonts w:ascii="方正仿宋_GBK" w:hAnsi="方正仿宋_GBK" w:eastAsia="方正仿宋_GBK" w:cs="方正仿宋_GBK"/>
        </w:rPr>
      </w:pPr>
    </w:p>
    <w:p w14:paraId="65ADFB1C">
      <w:pPr>
        <w:ind w:firstLine="0" w:firstLineChars="0"/>
        <w:rPr>
          <w:rFonts w:ascii="方正仿宋_GBK" w:hAnsi="方正仿宋_GBK" w:eastAsia="方正仿宋_GBK" w:cs="方正仿宋_GBK"/>
        </w:rPr>
      </w:pPr>
    </w:p>
    <w:p w14:paraId="5D032F46">
      <w:pPr>
        <w:ind w:firstLine="0" w:firstLineChars="0"/>
        <w:rPr>
          <w:rFonts w:ascii="方正仿宋_GBK" w:hAnsi="方正仿宋_GBK" w:eastAsia="方正仿宋_GBK" w:cs="方正仿宋_GBK"/>
        </w:rPr>
      </w:pPr>
    </w:p>
    <w:p w14:paraId="0FA230A2">
      <w:pPr>
        <w:ind w:firstLine="0" w:firstLineChars="0"/>
        <w:rPr>
          <w:rFonts w:ascii="方正仿宋_GBK" w:hAnsi="方正仿宋_GBK" w:eastAsia="方正仿宋_GBK" w:cs="方正仿宋_GBK"/>
        </w:rPr>
      </w:pPr>
    </w:p>
    <w:p w14:paraId="624D670E">
      <w:pPr>
        <w:ind w:firstLine="260"/>
        <w:rPr>
          <w:sz w:val="13"/>
          <w:szCs w:val="13"/>
        </w:rPr>
      </w:pPr>
    </w:p>
    <w:sectPr>
      <w:footerReference r:id="rId11" w:type="default"/>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008F33-5A9F-431E-B87C-30D5278BAF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ADB1CEB-7DB4-48C0-9029-209B505A36BE}"/>
  </w:font>
  <w:font w:name="Arial">
    <w:panose1 w:val="020B0604020202020204"/>
    <w:charset w:val="00"/>
    <w:family w:val="auto"/>
    <w:pitch w:val="default"/>
    <w:sig w:usb0="E0002EFF" w:usb1="C000785B" w:usb2="00000009" w:usb3="00000000" w:csb0="400001FF" w:csb1="FFFF0000"/>
    <w:embedRegular r:id="rId3" w:fontKey="{E998EF5E-1482-488E-AFF2-621584DE0E9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4" w:fontKey="{2B758F59-ACA1-4E24-86F3-DE1DE98CE783}"/>
  </w:font>
  <w:font w:name="方正楷体_GBK">
    <w:panose1 w:val="02000000000000000000"/>
    <w:charset w:val="86"/>
    <w:family w:val="auto"/>
    <w:pitch w:val="default"/>
    <w:sig w:usb0="800002BF" w:usb1="38CF7CFA" w:usb2="00000016" w:usb3="00000000" w:csb0="00040000" w:csb1="00000000"/>
    <w:embedRegular r:id="rId5" w:fontKey="{8AA48E4E-9ECE-42C0-8291-8BCCBDB3EDB3}"/>
  </w:font>
  <w:font w:name="方正黑体_GBK">
    <w:altName w:val="微软雅黑"/>
    <w:panose1 w:val="00000000000000000000"/>
    <w:charset w:val="86"/>
    <w:family w:val="auto"/>
    <w:pitch w:val="default"/>
    <w:sig w:usb0="00000000" w:usb1="00000000" w:usb2="00000000" w:usb3="00000000" w:csb0="00040000" w:csb1="00000000"/>
    <w:embedRegular r:id="rId6" w:fontKey="{58DE48A0-FF41-4963-8269-2F9F6ABB629D}"/>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embedRegular r:id="rId7" w:fontKey="{AA5417C3-1582-427B-A355-F210BDDB38F0}"/>
  </w:font>
  <w:font w:name="___WRD_EMBED_SUB_46">
    <w:altName w:val="宋体"/>
    <w:panose1 w:val="03000509000000000000"/>
    <w:charset w:val="86"/>
    <w:family w:val="auto"/>
    <w:pitch w:val="default"/>
    <w:sig w:usb0="00000000" w:usb1="00000000" w:usb2="00000000" w:usb3="00000000" w:csb0="00040000" w:csb1="00000000"/>
    <w:embedRegular r:id="rId8" w:fontKey="{98BAEB29-B08E-45E1-8E5A-19DDD8826778}"/>
  </w:font>
  <w:font w:name="WPSEMBED6">
    <w:panose1 w:val="02000000000000000000"/>
    <w:charset w:val="86"/>
    <w:family w:val="auto"/>
    <w:pitch w:val="default"/>
    <w:sig w:usb0="A00002BF" w:usb1="38CF7CFA" w:usb2="00082016" w:usb3="00000000" w:csb0="00040001" w:csb1="00000000"/>
  </w:font>
  <w:font w:name="WPSEMBED7">
    <w:panose1 w:val="02000000000000000000"/>
    <w:charset w:val="86"/>
    <w:family w:val="auto"/>
    <w:pitch w:val="default"/>
    <w:sig w:usb0="800002BF" w:usb1="38CF7CFA" w:usb2="00000016" w:usb3="00000000" w:csb0="00040000" w:csb1="00000000"/>
  </w:font>
  <w:font w:name="WPSEMBED8">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4C8EB">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CC426">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A0908">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D9C32">
    <w:pPr>
      <w:pStyle w:val="7"/>
      <w:ind w:firstLine="360"/>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147479769"/>
                </w:sdtPr>
                <w:sdtEndPr>
                  <w:rPr>
                    <w:rFonts w:hint="eastAsia" w:asciiTheme="minorEastAsia" w:hAnsiTheme="minorEastAsia" w:eastAsiaTheme="minorEastAsia" w:cstheme="minorEastAsia"/>
                    <w:sz w:val="28"/>
                    <w:szCs w:val="28"/>
                  </w:rPr>
                </w:sdtEndPr>
                <w:sdtContent>
                  <w:p w14:paraId="0780E667">
                    <w:pPr>
                      <w:pStyle w:val="7"/>
                      <w:ind w:firstLine="360"/>
                    </w:pPr>
                    <w:r>
                      <w:rPr>
                        <w:rFonts w:hint="eastAsia"/>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sdtContent>
              </w:sdt>
              <w:p w14:paraId="6C08C5F8">
                <w:pPr>
                  <w:pStyle w:val="2"/>
                  <w:ind w:firstLine="643"/>
                </w:pPr>
              </w:p>
            </w:txbxContent>
          </v:textbox>
        </v:shape>
      </w:pict>
    </w:r>
  </w:p>
  <w:p w14:paraId="448CEE0C">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ADA7E">
    <w:pPr>
      <w:pStyle w:val="8"/>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31A26">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E76EE">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NotTrackMoves/>
  <w:documentProtection w:enforcement="0"/>
  <w:defaultTabStop w:val="420"/>
  <w:drawingGridHorizontalSpacing w:val="160"/>
  <w:drawingGridVerticalSpacing w:val="435"/>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diMGIwZmFmNTFkMzZhMzIyMjI2ZjMzY2ViMDZhZWEifQ=="/>
  </w:docVars>
  <w:rsids>
    <w:rsidRoot w:val="00000000"/>
    <w:rsid w:val="13EC1538"/>
    <w:rsid w:val="567A5703"/>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640" w:firstLineChars="200"/>
      <w:jc w:val="both"/>
      <w:outlineLvl w:val="0"/>
    </w:pPr>
    <w:rPr>
      <w:rFonts w:ascii="仿宋_GB2312" w:hAnsi="仿宋_GB2312" w:eastAsia="仿宋_GB2312" w:cs="仿宋_GB2312"/>
      <w:kern w:val="2"/>
      <w:sz w:val="32"/>
      <w:szCs w:val="32"/>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pPr>
    <w:rPr>
      <w:rFonts w:asciiTheme="majorHAnsi" w:hAnsiTheme="majorHAnsi" w:eastAsiaTheme="majorEastAsia"/>
      <w:b/>
      <w:bCs/>
      <w:kern w:val="28"/>
    </w:r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autoRedefine/>
    <w:qFormat/>
    <w:uiPriority w:val="0"/>
    <w:pPr>
      <w:spacing w:after="0"/>
      <w:ind w:firstLine="200"/>
    </w:pPr>
  </w:style>
  <w:style w:type="paragraph" w:styleId="10">
    <w:name w:val="Body Text First Indent 2"/>
    <w:basedOn w:val="5"/>
    <w:autoRedefine/>
    <w:qFormat/>
    <w:uiPriority w:val="0"/>
    <w:pPr>
      <w:ind w:firstLine="42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99"/>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Char"/>
    <w:basedOn w:val="13"/>
    <w:link w:val="6"/>
    <w:autoRedefine/>
    <w:qFormat/>
    <w:uiPriority w:val="0"/>
    <w:rPr>
      <w:rFonts w:ascii="Times New Roman" w:hAnsi="Times New Roman" w:eastAsia="宋体" w:cs="Times New Roman"/>
      <w:kern w:val="2"/>
      <w:sz w:val="18"/>
      <w:szCs w:val="18"/>
    </w:rPr>
  </w:style>
  <w:style w:type="character" w:customStyle="1" w:styleId="21">
    <w:name w:val="页眉 Char"/>
    <w:basedOn w:val="13"/>
    <w:link w:val="8"/>
    <w:autoRedefine/>
    <w:qFormat/>
    <w:uiPriority w:val="0"/>
    <w:rPr>
      <w:rFonts w:ascii="Times New Roman" w:hAnsi="Times New Roman" w:eastAsia="宋体" w:cs="Times New Roman"/>
      <w:kern w:val="2"/>
      <w:sz w:val="18"/>
      <w:szCs w:val="18"/>
    </w:rPr>
  </w:style>
  <w:style w:type="character" w:customStyle="1" w:styleId="22">
    <w:name w:val="批注文字 Char"/>
    <w:basedOn w:val="13"/>
    <w:link w:val="15"/>
    <w:autoRedefine/>
    <w:qFormat/>
    <w:uiPriority w:val="99"/>
    <w:rPr>
      <w:rFonts w:ascii="Times New Roman" w:hAnsi="Times New Roman" w:eastAsia="宋体" w:cs="Times New Roman"/>
      <w:kern w:val="2"/>
      <w:sz w:val="21"/>
      <w:szCs w:val="24"/>
    </w:rPr>
  </w:style>
  <w:style w:type="character" w:customStyle="1" w:styleId="23">
    <w:name w:val="批注主题 Char"/>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35462C0B3FB543198819AAAFD75799DD_13</vt:lpwstr>
  </property>
  <property fmtid="{D5CDD505-2E9C-101B-9397-08002B2CF9AE}" pid="4" name="KSOTemplateDocerSaveRecord">
    <vt:lpwstr>eyJoZGlkIjoiNmJhODI0Yjk0ODhkMjYxOGE5OWJlMDNlYjI1M2U0MjIifQ==</vt:lpwstr>
  </property>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c22c4-06d0-4e08-92e1-62705d0fe583}">
  <ds:schemaRefs/>
</ds:datastoreItem>
</file>

<file path=customXml/itemProps3.xml><?xml version="1.0" encoding="utf-8"?>
<ds:datastoreItem xmlns:ds="http://schemas.openxmlformats.org/officeDocument/2006/customXml" ds:itemID="{8F0A65EA-55B4-4403-82A7-D84EB97D7F3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9102</Words>
  <Characters>9489</Characters>
  <Lines>90</Lines>
  <Paragraphs>25</Paragraphs>
  <TotalTime>5</TotalTime>
  <ScaleCrop>false</ScaleCrop>
  <LinksUpToDate>false</LinksUpToDate>
  <CharactersWithSpaces>9514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cp:lastPrinted>2025-05-09T04:16:00Z</cp:lastPrinted>
  <dcterms:modified xsi:type="dcterms:W3CDTF">2025-11-06T02:43:17Z</dcterms:modified>
  <cp:revision>312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eyJoZGlkIjoiZWE5M2E4OTRkNmEwYTUyNjM2Mzg3NThiMTA5NmIzZWUiLCJ1c2VySWQiOiI0OTMxMTE3MjUifQ==</vt:lpwstr>
  </property>
</Properties>
</file>